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D-4443/2010 vom 10. September 2010</w:t>
      </w:r>
    </w:p>
    <w:p>
      <w:r>
        <w:t>Bundesverwaltungsgericht, 2010-09-10, DE</w:t>
      </w:r>
    </w:p>
    <w:p>
      <w:r>
        <w:rPr>
          <w:b/>
        </w:rPr>
        <w:t xml:space="preserve">Quelle: </w:t>
      </w:r>
      <w:r>
        <w:t>https://mcp.opencaselaw.ch/entscheid/bvger_D-4443_2010</w:t>
      </w:r>
    </w:p>
    <w:p>
      <w:r>
        <w:t>FR: TAF D-4443/2010 du 10 septembre 2010</w:t>
      </w:r>
    </w:p>
    <w:p>
      <w:r>
        <w:t>IT: TAF D-4443/2010 del 10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nach Durchsicht der Akten festzuhalten, dass die Rüge des Beschwerdeführers, die Vorinstanz habe den Sachverhalt ungenügend festgestellt, unbegründet ist. Zudem ist darauf hinzuweisen, dass der Beschwerdeführer den Wortlaut sämtlicher Protokolle mit seiner Unterschrift bestätigt hat und sich deshalb seine Aussagen grundsätzlich entgegenhalten lassen muss.</w:t>
      </w:r>
    </w:p>
    <w:p>
      <w:r>
        <w:rPr>
          <w:b/>
        </w:rPr>
        <w:t>E. 5.2</w:t>
      </w:r>
    </w:p>
    <w:p>
      <w:r>
        <w:t>Nach Prüfung der Akten durch das Gericht ist - in Übereinstimmung mit der Vorinstanz - festzustellen, dass die Vorbringen des Beschwerdeführers im Zusammenhang mit der Suche nach seiner Person durch die srilankische Armee vom 8. Juni 2009 in wesentlichen Punkten widersprüchlich sind. Beispielsweise machte er anlässlich der Kurzbefragung geltend, er wisse nicht, warum er von der srilankischen Armee gesucht werde (Akten BFM A 1/12, S. 7 f.), während er bei der Anhörung zu Protokoll gab, er werde wahrscheinlich gesucht, weil er verdächtigt werde, Mitglied der LTTE zu sein, zumal die srilankische Armee seinen Computer bei F._______ beschlagnahmt habe, auf dem sich Bilder befunden hätten, die ihn mit LTTE-Mitgliedern zeige (Akten BFM A 8/11, S. 3, 8). Die diesbezüglichen Ausführungen in der Rechtsmittelschrift sind nicht geeignet, diesen Widerspruch aufzulösen (vgl. S. 8, 10). Zudem ist festzustellen, dass der Beschwerdeführer erst bei der Anhörung erwähnte, verschiedene Tätigkeiten für die LTTE ausgeübt zu haben (Akten BFM A 8/11, S. 4), obwohl er bereits anlässlich der Kurzbefragung gefragt worden war, ob er irgendetwas gemacht habe, weswegen er von der srilankischen Armee gesucht werden könnte (Akten BFM A 1/12, S. 7). Überdies sagte der Beschwerdeführer bei der Anhörung zuerst aus, er sei am 8. Juni 2009 nach der Arbeit zu seinem Onkel nach Hause gegangen, wo dieser ihm mitgeteilt habe, dass er gesucht werde (Akten BFM A 8/11, S. 5), wohingegen er wenig später in der Anhörung vorbrachte, er habe nur bis am 7. Juni 2009 gearbeitet, da ihm sein Onkel am 8. Juni 2009 schon vor der Arbeit mitgeteilt habe, dass man nach ihm suche (Akten BFM A 8/11, S. 6). Die vom Beschwerdeführer geltend gemachte Suche durch die srilankische Armee vom 8. Juni 2009 ist im srilankischen Kontext nicht nachvollziehbar, da gemäss seinen eigenen Angaben sein Kollege F._______ schon im Jahre 2008 von der srilankischen Armee verhaftet und dabei sein (des Beschwerdeführers) Computer beschlagnahmt worden ist. Es ist davon auszugehen, dass die Armee beziehungsweise die srilankischen Behörden schon viel früher begonnen hätten, nach dem Beschwerdeführer zu suchen, wäre die angebliche Suche vom 8. Juni 2009 tatsächlich auf die Verhaftung von F._______ beziehungsweise die Beschlagnahmung des Computers zurückzuführen, wie dies vom Beschwerdeführer vermutet wird. Im Weiteren ist seine Behauptung in der Beschwerde, beim Kontrollposten in K._______ sei lediglich der Wagen des Onkels, nicht aber die ID-Karten des Onkels, seiner drei Kinder und seine eigene kontrolliert worden, in Berücksichtigung der strengen Sicherheitskontrollen in Sri Lanka realitätsfremd und demnach als unglaubhaft zu erachten. Das Bundesverwaltungsgericht gelangt daher nach Prüfung der gesamten Akten zum Schluss, dass es dem Beschwerdeführer nicht gelungen ist, die von ihm vorgebrachte Suche nach seiner Person durch die srilankische Armee glaubhaft zu machen.</w:t>
      </w:r>
    </w:p>
    <w:p>
      <w:r>
        <w:rPr>
          <w:b/>
        </w:rPr>
        <w:t>E. 5.3</w:t>
      </w:r>
    </w:p>
    <w:p>
      <w:r>
        <w:t>Bezüglich der beiden vom Beschwerdeführer geltend gemachten Inhaftierungen vom Jahre 2001 beziehungsweise 2006 ist übereinstimmend mit der Vorinstanz festzuhalten, dass seine diesbezüglichen Ausführungen sehr unsubstanziiert ausgefallen sind. Der Vollständigkeit halber ist darauf hinzuweisen, dass selbst bei Glaubhaftigkeit dieser beiden vorgebrachten Inhaftierungen die Flüchtlingseigenschaft des Beschwerdeführers nicht zu bejahen wäre, zumal es schon am sachlichen und zeitlichen Kausalzusammenhang zwischen den Inhaftierungen und seiner am 18. März 2010 erfolgten Ausreise aus Sri Lanka fehlen würde.</w:t>
      </w:r>
    </w:p>
    <w:p>
      <w:r>
        <w:rPr>
          <w:b/>
        </w:rPr>
        <w:t>E. 5.4</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Sri Lanka befürchten müsste. Er vermag mit seinen Beschwerdevorbringen sowie den eingereichten Beweismitteln zu keiner anderen Betrachtungsweise zu führen, weshalb es sich erübrigt, weiter darauf einzugehen. Er erfüllt somit die Voraussetzungen zur Zuerkennung der Flüchtlingseigenschaft nicht, weswegen die Vorinstanz das Asylbegehren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 (Art. 83 Abs. 3 AuG).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Festzustellen ist, dass sich seit Erlass des vorstehend zitierten Grundsatzurteils die Sicherheitssituation in Sri Lanka nicht grundlegend geändert hat. Obwohl der Bürgerkrieg nach einem Vierteljahrhundert im Jahre 2009 ein Ende gefunden hat, werden die Sicherheitsmassnahmen von den srilankischen Behörden nur sehr langsam gelockert. Die politische Situation ist insbesondere im Osten und Norden des Landes, aber auch in Colombo nach wie vor äusserst angespannt und die weitere Entwicklung der allgemeinen Lage in Sri Lanka muss als vollkommen offen bezeichnet werden.</w:t>
      </w:r>
    </w:p>
    <w:p>
      <w:r>
        <w:rPr>
          <w:b/>
        </w:rPr>
        <w:t>E. 7.3.3</w:t>
      </w:r>
    </w:p>
    <w:p>
      <w:r>
        <w:t>Der Beschwerdeführer stammt aus der Nordprovinz von Sri Lanka (D._______), weshalb eine Rückkehr dorthin angesichts der oben skizzierten Rechtsprechung als nicht zumutbar zu erachten ist.</w:t>
      </w:r>
    </w:p>
    <w:p>
      <w:r>
        <w:rPr>
          <w:b/>
        </w:rPr>
        <w:t>E. 7.3.4</w:t>
      </w:r>
    </w:p>
    <w:p>
      <w:r>
        <w:t>Zu prüfen bleibt demnach, ob für den Beschwerdeführer im Süden des Landes respektive im Grossraum Colombo eine innerstaatliche Aufenthaltsalternative besteht.</w:t>
      </w:r>
    </w:p>
    <w:p>
      <w:r>
        <w:rPr>
          <w:b/>
        </w:rPr>
        <w:t>E. 7.3.5</w:t>
      </w:r>
    </w:p>
    <w:p>
      <w:r>
        <w:t>Das Bestehen einer solchen innerstaatlichen Aufenthaltsalternative ist vorliegend zu bejahen. Gemäss eigenen Angaben hat der Beschwerdeführer von März bis August 2006 bei einem Verwandten in Colombo gewohnt. Es ist davon auszugehen, dass der Beschwerdeführer bei einer Rückkehr nach Colombo erneut bei diesem Verwandten wohnen kann, bis er eine eigene Wohngelegenheit gefunden hat. Zudem ist anzunehmen, dass der Beschwerdeführer während seines fünfmonatigen Aufenthalts in dieser Stadt zu weiteren Personen freundschaftliche Beziehungen aufgebaut hat. Der Beschwerdeführer verfügt somit in Colombo über ein tragfähiges soziales Beziehungsnetz, das ihn bei einer Rückkehr dorthin unterstützen kann. Überdies ist aus der vom Beschwerdeführer eingereichten Identitätskarte ersichtlich, dass diese in Colombo ausgestellt wurde, woraus zu schliessen ist, dass er dort über ein gefestigtes Aufenthaltsrecht verfügte. Auch dies deutet darauf hin, dass sich der Beschwerdeführer ohne grössere Probleme (erneut) in Colombo niederlassen kann. Ausserdem hat der Beschwerdeführer eine gute Schulbildung (A-Level abgeschlossen), und verfügt über Berufserfahrung, weshalb anzunehmen ist, er könne sich im Grossraum Colombo niederlassen und sich dort sowohl beruflich als auch wirtschaftlich integrieren. Dabei wird er im Bedarfsfall auf die (finanzielle) Unterstützung seiner Mutter sowie seiner Geschwister zählen können, die im Norden und Osten von Sri Lanka sowie in Kanada leben (vgl. Akten BFM A 1/12, S. 4). Soweit den Akten zu entnehmen ist, ist der 30-jährige Beschwerdeführer zudem gesund. Nach dem Gesagten ist der Vollzug der Wegweisung des Beschwerdeführers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Juli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