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D-4439/2014 vom 22. Dezember 2014</w:t>
      </w:r>
    </w:p>
    <w:p>
      <w:r>
        <w:t>Bundesverwaltungsgericht, 2014-12-22, DE</w:t>
      </w:r>
    </w:p>
    <w:p>
      <w:r>
        <w:rPr>
          <w:b/>
        </w:rPr>
        <w:t xml:space="preserve">Quelle: </w:t>
      </w:r>
      <w:r>
        <w:t>https://mcp.opencaselaw.ch/entscheid/bvger_D-4439_2014</w:t>
      </w:r>
    </w:p>
    <w:p>
      <w:r>
        <w:t>FR: TAF D-4439/2014 du 22 décembre 2014</w:t>
      </w:r>
    </w:p>
    <w:p>
      <w:r>
        <w:t>IT: TAF D-4439/2014 del 22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w:t>
      </w:r>
    </w:p>
    <w:p>
      <w:r>
        <w:t>Die Ansetzung einer Frist zur Beschwerdeergänzung nach der vorinstanzli­chen Aktenedition (Akten des Bruders der Beschwerdeführe­rin) erübrigt sich aufgrund des Zeitablaufs, da die Edition vom BFM be­reits am 22. September 2014 veranlasst wurde und der Beschwerdeführe­rin, wel­che der Mitwirkungspflicht unterliegt, mithin genü­gend Zeit für eine allfälli­ge weitere Eingabe zur Verfügung stand. Fest­zuhalten ist in diesem Zu­sammenhang, dass praxisgemäss kein An­spruch auf erneute und expli­zite Ansetzung einer Frist bestand.</w:t>
      </w:r>
    </w:p>
    <w:p>
      <w:r>
        <w:rPr>
          <w:b/>
        </w:rPr>
        <w:t>E. 4.1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Ihre Grenze findet die Untersuchungspflicht allerdings in der Mitwirkungspflicht des Asylsuchenden (vgl. Art. 8 AsylG).</w:t>
      </w:r>
    </w:p>
    <w:p>
      <w:r>
        <w:rPr>
          <w:b/>
        </w:rPr>
        <w:t>E. 4.2</w:t>
      </w:r>
    </w:p>
    <w:p>
      <w:r>
        <w:t>Die Beschwerdeführerin hat anlässlich der Befragung und der Anhö­rung wiederholt ihren Bruder B._______ erwähnt. Er sei mit ihr in die Schweiz geflo­hen, weil er sich als Reservist der Armee hätte anschliessen müs­sen. Er sei polizeilich gesucht worden. Auch im angefochtenen Entscheid wird sowohl im Sachverhalt wie auch in den Erwägungen - wenn auch aus­gehend von Schilderungen der Beschwerdeführerin - auf ihn Bezug ge­nommen. Die Behauptung in der Beschwerde, dessen Situation bezie­hungsweise dessen Akten seien bei der Entscheidredaktion unberücksich­tigt geblieben, erscheint somit zum einen als nicht stichhal­tig. Zum anderen und vor allem machte B._______ im Asylverfahren geltend, wegen des bevorstehenden Militärdienstes geflohen zu sein. Politisch habe er sich in keiner Weise betätigt (vgl. Antwort 69 im entsprechenden An­hörungs­protokoll). Die Beschwerdeführerin gab sowohl anlässlich der Summarbefragung wie auch der Anhörung, bei welcher sie volljährig war, in keiner Weise zu erkennen, dass sie behördliche Reflexverfolgung we­gen dessen Flucht befürchte. Allein mit dem Hinweis auf dessen behördli­che Gefährdung war noch kein eigenes, reflexverfolgungsmässiges Risiko­profil dargetan respektive geltend gemacht worden. Dass ihre Aus­reise mit den Problemen des Bruders im Zusammenhang gestanden sein soll, führt entgegen der Replik zu keiner anderen Einschätzung, da damit le­diglich die Verbundenheit der beiden Personen, nicht aber eine wegen B._______ auch der Beschwerdeführerin drohende Gefahr offenkundig wird. Im Übri­gen gab sie bei der Anhörung vom 14. April 2014 an, der Familie in Sy­rien gehe es gut (A 24/16 Antwort 26). Im Sinne der vorinstanzlichen Er­wägungen in der Vernehmlassung ist somit in der Tat auch in diesem Lichte besehen nicht nachvollziehbar, weshalb die syrischen Behörden aus­gerechnet gegen die Beschwerdeführerin im Falle ihrer Rückkehr reflex­verfolgungsmässig vorgehen sollten, da die übrigen Angehörigen in den anderthalb Jahren seit der Ausreise von B._______ diesbezüglich offenbar in keiner Weise behelligt wurden. Entsprechend bestand für die Vorinstanz im Rahmen der Untersuchungsmaxime kein weiterer Abklärungsbedarf, weshalb die beantragte Rückweisung an das BFM nicht in Betracht kommt.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hat die seitens der Stiefmutter der Beschwerdeführerin ausge­henden Massnahmen für nicht asylbeachtlich erachtet. Das Verbot, die Schule weiterhin zu besuchen, wird auch in der Beschwerdeschrift nicht als per se asylrelevant eingestuft. Im Weiteren trifft im Sinne der Be­schwerdevorbringen zwar zu, dass eine drohende Zwangsverheiratung un­ter Umständen Asylrelevanz entfalten kann. Das BFM weist aber zu­recht darauf hin, dass eine konkrete Gefahr für die Beschwerdeführerin in Würdigung ihrer Vorbringen nicht zu erkennen ist. Allein mit den Hinwei­sen in der Beschwerde, solche Vorfälle ereigneten sich in Syrien nicht selten und auch B._______ habe in seinem Verfahren ausgesagt, die Stiefmut­ter plane die erwähnte Zwangsheirat, entsteht jedenfalls noch nicht der Eindruck einer konkreten Gefahr, sondern eher das Bild häusli­cher Konflikte ohne verfolgungsintensive Attacken (A 24/16 Antworten 75 ff.). Dies um so weniger, als ihre beiden Schwestern offenbar frei heiraten konnten (A 24/16 Antwort 114). Im Weiteren kann letztlich offen bleiben, ob die Beschwerdeführerin tatsächlich dreimal an Kundgebungen gegen das Regime teilgenommen hat, da sie deswegen nicht belangt wurde und offensichtlich kein politisches Profil aufweist, was auch - zusätz­lich - gegen die vorgebrachte Reflexverfolgung spricht. Im Übrigen wurden die Hauptargumente, welche gegen eine drohende Reflexverfol­gung spre­chen, und die untauglichen Gegenargumente bereits vorste­hend unter Ziff. 4.2 beleuchtet, weshalb sich hier weitere Erwägungen erüb­rigen. Anzufügen bleibt, dass die Beschwerdeführerin Syrien eigenen Angaben zufolge legal und nicht - wie vom Rechtsvertreter geltend gemacht - illegal verliess.</w:t>
      </w:r>
    </w:p>
    <w:p>
      <w:r>
        <w:rPr>
          <w:b/>
        </w:rPr>
        <w:t>E. 6.2</w:t>
      </w:r>
    </w:p>
    <w:p>
      <w:r>
        <w:t>Unter Berücksichtigung der gesamten Umstände folgt, dass die Be­schwerdeführerin keine Gründe nach Art. 3 AsylG nachweisen oder glaub­haft machen konnte. Die Vorinstanz hat die Flüchtlingseigen­schaft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Die Beschwerdeführerin wurde vom BFM mit Entscheid vom 14. Juli 2014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Beschwer­de­füh­rerin aufzuerlegen (Art. 63 Abs. 1 VwVG). Nachdem ihr Ge­such im Sinne von Art. 65 Abs. 1 VwVG mit Zwischenverfügung vom 13. August 2014 gutgeheissen wurde und sich ihre finanzielle Situation seit­her nicht ent­scheidwesentlich verändert hat, erfolgt keine Kostenauf­lage.</w:t>
      </w:r>
    </w:p>
    <w:p>
      <w:r>
        <w:rPr>
          <w:b/>
        </w:rPr>
        <w:t>E. 10.2</w:t>
      </w:r>
    </w:p>
    <w:p>
      <w:r>
        <w:t>Mit Zwischenverfügung vom 13. August 2014 wurde ausserdem das Ge­such um amtliche Verbeiständung gutgeheissen (Art. 110a Abs. 1 VwVG) und der Beschwerdeführerin ihr Rechtsvertreter als Rechtsbeistand zugeord­net. Demnach ist diesem ein amtliches Honorar für seine notwendi­gen Aufwendungen im Beschwerdeverfahren auszurichten. Der Rechtsvertreter hat in der Eingabe vom 10. September 2014 Kosten in der Höhe von Fr. 2750.10 (inklusive Auslagen und Mehrwertsteuer) gel­tend gemacht (Art. 10 Abs. 2 und Art. 14 des Reglements vom 21. Februar 2008 über die Kosten und Entschädigun­gen vor dem Bundesverwaltungsgericht [VGKE, SR 173.320.2]). Dieser Aufwand erscheint jedoch in Anbetracht der Streitsache und mit Blick auf vergleichbare Verfahren zu hoch. Demnach ist dem unentgeltlichen Rechtsbeistand zulas­ten der Gerichtskasse ein entspre­chend reduziertes Honorar von Fr. 1'800.-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