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D-4438/2019 vom 14. Mai 2021</w:t>
      </w:r>
    </w:p>
    <w:p>
      <w:r>
        <w:t>Bundesverwaltungsgericht, 2021-05-14, DE</w:t>
      </w:r>
    </w:p>
    <w:p>
      <w:r>
        <w:rPr>
          <w:b/>
        </w:rPr>
        <w:t xml:space="preserve">Quelle: </w:t>
      </w:r>
      <w:r>
        <w:t>https://mcp.opencaselaw.ch/entscheid/bvger_D-4438_2019</w:t>
      </w:r>
    </w:p>
    <w:p>
      <w:r>
        <w:t>FR: TAF D-4438/2019 du 14 mai 2021</w:t>
      </w:r>
    </w:p>
    <w:p>
      <w:r>
        <w:t>IT: TAF D-4438/2019 del 14 maggio 2021</w:t>
      </w:r>
    </w:p>
    <w:p>
      <w:pPr>
        <w:pStyle w:val="Heading2"/>
      </w:pPr>
      <w:r>
        <w:t>Regeste</w:t>
      </w:r>
    </w:p>
    <w:p>
      <w:r>
        <w:t>Asyl und Wegweisung</w:t>
      </w:r>
    </w:p>
    <w:p>
      <w:pPr>
        <w:pStyle w:val="Heading2"/>
      </w:pPr>
      <w:r>
        <w:t>Erwägungen</w:t>
      </w:r>
    </w:p>
    <w:p>
      <w:r>
        <w:rPr>
          <w:b/>
        </w:rPr>
        <w:t>E. 1.1</w:t>
      </w:r>
    </w:p>
    <w:p>
      <w:r>
        <w:t>Am 1. März 2019 ist eine Teilrevision des AsylG vom 26. Juni 1998 (AS 2016 3101)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wird die Verletzung der Pflicht zur vollständigen und richtigen Abklärung des rechtserheblichen Sachverhalts gerügt, welche vorab zu beurteilen ist, da sie gegebenenfalls geeignet ist, eine Kassation der vorinstanzlichen Verfügung zu bewirken.</w:t>
      </w:r>
    </w:p>
    <w:p>
      <w:r>
        <w:rPr>
          <w:b/>
        </w:rPr>
        <w:t>E. 3.2</w:t>
      </w:r>
    </w:p>
    <w:p>
      <w:r>
        <w:t>Der Untersuchungsgrundsatz gehört zu den allgemeinen Grundsätzen des Asylverfahrens (vgl. Art. 12 VwVG i.V.m. Art. 6 AsylG).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Auer/Anja Martina Binder, in: Kommentar zum Bundesgesetz über das Verwaltungsverfahren [VwVG], 2. Aufl. 2019, Art. 12 N 16).</w:t>
      </w:r>
    </w:p>
    <w:p>
      <w:r>
        <w:rPr>
          <w:b/>
        </w:rPr>
        <w:t>E. 3.3</w:t>
      </w:r>
    </w:p>
    <w:p>
      <w:r>
        <w:t>Die Rüge ist unbegründet. Der Beschwerdeführer vermengt die sich aus dem Untersuchungsgrundsatz ergebende Pflicht zur Feststellung des rechtserheblichen Sachverhalts mit der rechtlichen Würdigung der Sache, welche die materielle Entscheidung über die vorgebrachten Wegweisungsvollzugshindernisse betrifft, weshalb diesbezüglich auf die nachfolgenden Erwägungen zu verweisen ist. Alleine der Umstand, dass der Beschwerdeführer die Auffassung und Schlussfolgerungen der Vorinstanz nicht teilt, stellt mithin keine unrichtige beziehungsweise unvollständige Sachverhaltsfeststellung dar.</w:t>
      </w:r>
    </w:p>
    <w:p>
      <w:r>
        <w:rPr>
          <w:b/>
        </w:rPr>
        <w:t>E. 3.4</w:t>
      </w:r>
    </w:p>
    <w:p>
      <w:r>
        <w:t>Nach dem Gesagten besteht keine Veranlassung, die angefochtene Verfügung aus formellen Gründen aufzuheben und die Sache an die Vorinstanz zurückzuweisen. Der entsprechende Antrag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Bundesverwaltungsgericht gelangt nach Durchsicht der Akten in materieller Hinsicht zum Schluss, dass die Vorinstanz die Flüchtlingseigenschaft des Beschwerdeführers zu Recht verneint hat. Auf die betreffenden Ausführungen in der angefochtenen Verfügung (vgl. die Zusammenfassung der entsprechenden Erwägung in Bst. B.b des vorliegenden Urteils) kann grösstenteils verwiesen werden. Die Entgegnungen des Beschwerdeführers auf Beschwerdeebene vermögen zu keiner anderen Betrachtungsweise zu führen.</w:t>
      </w:r>
    </w:p>
    <w:p>
      <w:r>
        <w:rPr>
          <w:b/>
        </w:rPr>
        <w:t>E. 5.2</w:t>
      </w:r>
    </w:p>
    <w:p>
      <w:r>
        <w:t>Zunächst ist darauf hinzuweisen, dass vorliegend darauf verzichtet werden kann, die Glaubhaftigkeit der geltend gemachten, drohenden Verfolgung durch den Schwager - trotz erheblicher Zweifel am Vorgebrachten - zu beurteilen, da selbst bei Wahrheitsunterstellung die Asylrelevanz zu verneinen ist. Auf die entsprechenden Darlegungen in der Beschwerde ist deshalb nicht weiter einzugehen.</w:t>
      </w:r>
    </w:p>
    <w:p>
      <w:r>
        <w:rPr>
          <w:b/>
        </w:rPr>
        <w:t>E. 5.3</w:t>
      </w:r>
    </w:p>
    <w:p>
      <w:r>
        <w:t>Geht eine Verfolgung von nicht-staatlichen Akteuren aus, ist zu prüfen, ob der Beschwerdeführer staatlichen Schutz beanspruchen kann (vgl. BVGE 2013/11 E. 5.1, 2010/57 E. 2 und 2008/12 E. 5). Der Schutz vor nicht-staatlicher Verfolgung im Heimatstaat ist als ausreichend zu qualifizieren, wenn die betroffene Person effektiv Zugang zu einer funktionierenden und effizienten Schutzinfrastruktur hat und ihr die Inanspruchnahme eines solchen innerstaatlichen Schutzsystems individuell zumutbar ist (vgl. zum Ganzen BVGE 2011/51 E. 7 m.w.H.). Die Flüchtlingseigenschaft setzt sodann auch bei einer Verfolgung durch nicht-staatliche Akteure voraus, dass der geltend gemachten Verfolgung oder der staatlichen Schutzverweigerung ein flüchtlingsrechtlich relevantes Motiv gemäss Art. 3 AsylG zugrunde liegt.</w:t>
      </w:r>
    </w:p>
    <w:p>
      <w:r>
        <w:rPr>
          <w:b/>
        </w:rPr>
        <w:t>E. 5.4</w:t>
      </w:r>
    </w:p>
    <w:p>
      <w:r>
        <w:t>Nach Erkenntnissen des Gerichts sind die iranischen Behörden als grundsätzlich schutzfähig und schutzwillig zu bezeichnen (vgl. statt vieler Urteil des BVGer E-3673/2018 vom 10. Dezember 2020 E. 6.3.2). Aus den Akten ergeben sich denn auch keinerlei Anhaltspunkte dafür, dass im vorliegenden Fall der Schutz des Beschwerdeführers vor der geltend gemachten, drohenden Verfolgung seitens seines Schwagers nicht gewährleistet wäre. Im Übrigen mangelt es derselben an einem flüchtlingsrechtlichen Verfolgungsmotiv im Sinne von Art. 3 Abs. 1 AsylG.</w:t>
      </w:r>
    </w:p>
    <w:p>
      <w:r>
        <w:rPr>
          <w:b/>
        </w:rPr>
        <w:t>E. 5.5</w:t>
      </w:r>
    </w:p>
    <w:p>
      <w:r>
        <w:t>Sodann hat die Vorinstanz hinsichtlich der Vorbringen im Zusammenhang mit der (befürchteten) staatlichen Verfolgung in ihrer Verfügung eingehend dargelegt, welche Gründe auf die fehlende Asylrelevanz schliessen lassen. Diesbezüglich findet auf Beschwerdeebene keine argumentative Auseinandersetzung mit den Überlegungen der Vorinstanz statt, weshalb die zutreffenden vorinstanzlichen Ausführungen in diesem Punkt vollumfänglich zu bestätigen sind.</w:t>
      </w:r>
    </w:p>
    <w:p>
      <w:r>
        <w:rPr>
          <w:b/>
        </w:rPr>
        <w:t>E. 5.6</w:t>
      </w:r>
    </w:p>
    <w:p>
      <w:r>
        <w:t>Der Vollständigkeit halber ist festzustellen, dass auch aus den im vorliegenden Verfahren beigezogenen Akten seiner (...), seines (...) (beide N [...]) und seiner Schwester (N [...]) nichts zugunsten des Beschwerdeführers abgeleitet werden kann. Etwas anderes wird auf Beschwerdeebene bezeichnenderweise auch nicht geltend gemacht.</w:t>
      </w:r>
    </w:p>
    <w:p>
      <w:r>
        <w:rPr>
          <w:b/>
        </w:rPr>
        <w:t>E. 5.7</w:t>
      </w:r>
    </w:p>
    <w:p>
      <w:r>
        <w:t>Zusammenfassend ist festzustellen, dass der Beschwerdeführer nichts vorgebracht hat, was geeignet wäre, seine Flüchtlingseigenschaft nachzuweisen oder zumindest glaubhaft zu machen. Die Vorinstanz hat sein Asylgesuch daher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6.2.1</w:t>
      </w:r>
    </w:p>
    <w:p>
      <w:r>
        <w:t>Die Wegweisung wird unter anderem dann nicht verfügt, wenn die asylsuchende Person im Besitze einer gültigen Aufenthalts- oder Niederlassungsbewilligung ist (Art. 32 Bst. a der Asylverordnung 1 vom 11. August 1999 [AsylV 1, SR 142.311]) oder ein grundsätzlicher Anspruch auf Erteilung einer Aufenthaltsbewilligung besteht, wobei die kantonale Ausländerbehörde zuständig ist, über den Anspruch konkret zu befinden (vgl. auch BVGE 2013/37 E. 4.4; EMARK 2006 Nr. 23 E. 3.2; EMARK 2001 Nr. 21 E. 9). Ist die asylsuchende Person nicht im Besitz einer gültigen Aufenthalts- oder Niederlassungsbewilligung, ist im Asyl- und Wegweisungsverfahren mit Blick auf die mögliche Zuständigkeit der kantonalen Ausländerbehörde daher vorfrageweise zu prüfen, ob die asylsuchende Person sich im Sinne von Art. 14 Abs. 1 AsylG auf einen grundsätzlichen Anspruch auf Erteilung einer Aufenthaltsbewilligung berufen kann (vgl. EMARK 2001 Nr. 21 E. 10).</w:t>
      </w:r>
    </w:p>
    <w:p>
      <w:r>
        <w:rPr>
          <w:b/>
        </w:rPr>
        <w:t>E. 6.2.2</w:t>
      </w:r>
    </w:p>
    <w:p>
      <w:r>
        <w:t>Soweit nicht das Gesetz oder das Freizügigkeitsabkommen einen Anspruch auf Erteilung einer Aufenthaltsbewilligung vermittelt, kommt als Anspruchsgrundlage Art. 8 EMRK in Betracht, wobei diesbezüglich die bundesgerichtliche Rechtsprechung massgeblich ist (vgl. EMARK 2001 Nr. 21 E. 8a und b sowie E. 9). Diese besagt, dass Ausländerinnen und Ausländern gestützt auf den in Art. 8 EMRK und Art. 13 BV gewährleisteten Schutz des Familienlebens ein potenzieller Anspruch auf Aufenthalt in der Schweiz erwächst, wenn eine enge, nahe, echte und tatsächlich gelebte familiäre Beziehung vorliegt. Zu den Familienbeziehungen, die nach dem Bundesgericht unter den Schutz von Art. 8 Abs. 1 EMRK fallen, gehört neben jener zwischen den Gatten auch jene zwischen Eltern und ihren minderjährigen Kindern. Hinweise für eine familiäre Beziehung sind das Zusammenleben in einem gemeinsamen Haushalt, eine finanzielle Abhängigkeit sowie regelmässige Kontakte oder die Übernahme von Verantwortung für eine andere Person. Ferner muss das in der Schweiz lebende Familienmitglied hier über ein gefestigtes Anwesenheitsrecht verfügen. Von einem solchen ist ohne weiteres bei schweizerischer Staatsangehörigkeit auszugehen, ebenso bei einer Niederlassungs- oder Aufenthaltsbewilligung, auf deren Verlängerung ein Anspruch besteht (vgl. BGE 135 I 143 E. 1.3.1 und 3.1, BGE 130 II 281 E. 3.1; EMARK 2005 Nr. 3 E. 3.1).</w:t>
      </w:r>
    </w:p>
    <w:p>
      <w:r>
        <w:rPr>
          <w:b/>
        </w:rPr>
        <w:t>E. 6.2.3</w:t>
      </w:r>
    </w:p>
    <w:p>
      <w:r>
        <w:t>Der Beschwerdeführer verfügt weder über eine Aufenthalts- oder Niederlassungsbewilligung noch über einen selbständigen Anspruch auf Erteilung einer solchen. Allerdings dürfte die Tochter des Beschwerdeführers (O._______ [N {...}]) nach der Eintragung der gleichgeschlechtlichen Partnerschaft zwischen ihrer Mutter (H._______) und einer Schweizerbürgerin am 6. März 2020 (vgl. Prozessgeschichte, Bst. K.) über einen mittelbaren Anspruch auf Erteilung einer Aufenthaltsbewilligung verfügen (vgl. ZEMIS). In Anbetracht der nachstehenden Ausführungen kann ihr Aufenthaltsstatus vorliegend offen gelassen werden. Der Beschwerdeführer machte im Laufe des Beschwerdeverfahrens keine Angaben zur Beziehung zu seiner heute (...) Tochter, wozu er angesichts seiner Mitwirkungspflicht gemäss Art. 8 AsylG gehalten gewesen wäre und worauf er vom Gericht in der Zwischenverfügung vom 25. Oktober 2019 ausdrücklich aufmerksam gemacht wurde (vgl. Prozessgeschichte, Bst. G.). Aufgrund der vorliegenden Aktenlage besteht zwischen dem Beschwerdeführer und seiner Tochter jedenfalls keine enge, nahe, echte und tatsächlich gelebte familiäre Beziehung im Sinne der obgenannten Rechtsprechung, zumal sie nie in einem gemeinsamen Haushalt gelebt haben und der Beschwerdeführer mangels finanzieller Leistungsfähigkeit keinen Kindesunterhaltsbeitrag ausrichten kann (vgl. ZEMIS). Nach dem Gesagten ist festzustellen, dass die für die Berufung auf einen Bewilligungsanspruch nach Art. 8 EMRK oder Art. 13 BV verlangten Voraussetzungen im Falle des Beschwerdeführers - ungeachtet eines allfälligen mittelbaren Anspruchs seiner Tochter auf Erteilung einer Aufenthaltsbewilligung in der Schweiz - nicht erfüllt sind. Die Wegweisung wurde demnach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7.2.3</w:t>
      </w:r>
    </w:p>
    <w:p>
      <w:r>
        <w:t>Was die gesundheitliche Situation des Beschwerdeführers betrifft, ergibt sich aus dem Austrittsbericht vom 18. September 2018 (vgl. Prozessgeschichte, Bst. A.c), dass er aufgrund einer (...), einer (...), einer (...) sowie (...) vom 6. September 2018 bis 8. September 2018 im (...) K._______ hospitalisiert und als weiteres Procedere unter anderem eine (...) anfangs Oktober 2018 vorgesehen war. Sodann geht aus den ärztlichen Berichten vom 5. November 2018 und 14. Januar 2019 (vgl. ebenda) hervor, dass er an einer (...), einer (...) sowie einer (...) leidet und sich seit dem 18. Oktober 2018 ein- bis zweimal pro Woche in psychiatrischer Behandlung befindet. Aktuellere ärztliche Berichte wurden vom Beschwerdeführer nicht eingereicht, weshalb auf die vorgenannten abzustellen ist. Eine zwangsweise Rückweisung von Personen mit gesundheitlichen Problemen kann nur ganz ausnahmsweise einen Verstoss gegen Art. 3 EMRK darstellen. Die aktenkundigen gesundheitlichen Probleme des Beschwerdeführers stellen sich nicht als so schwerwiegend dar, dass eine Gefahr der Verletzung von Art. 3 EMRK besteht (zu den Anforderungen vgl. BVGE 2011/9 E. 7 mit Hinweisen auf die damalige Praxis des Europäischen Gerichtshofs für Menschenrechte [EGMR] sowie zur neueren Praxis des EGMR das Urteil Paposhvili gegen Belgien vom 13. Dezember 2016, Grosse Kammer 41738/10, §§ 180-193 m.H.).</w:t>
      </w:r>
    </w:p>
    <w:p>
      <w:r>
        <w:rPr>
          <w:b/>
        </w:rPr>
        <w:t>E. 7.2.4</w:t>
      </w:r>
    </w:p>
    <w:p>
      <w:r>
        <w:t>Von einer drohenden Verletzung von Art. 8 EMRK ist nach dem oben Gesagten (vgl. E. 6.2.3) ebenfalls nicht auszugehen.</w:t>
      </w:r>
    </w:p>
    <w:p>
      <w:r>
        <w:rPr>
          <w:b/>
        </w:rPr>
        <w:t>E. 7.2.5</w:t>
      </w:r>
    </w:p>
    <w:p>
      <w:r>
        <w:t>Nach dem Gesagten ist der Vollzug der Wegweisung sowohl im Sinne der landes- als auch der völkerrechtlichen Bestimmungen zulässig.</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Die allgemeine Lage im Iran zeichnet sich nicht durch eine Situation allgemeiner Gewalt aus. Selbst unter Berücksichtigung der Umstände, dass die Staatsordnung als totalitär zu bezeichnen ist und die allgemeine Situation in verschiedener Hinsicht problematisch sein kann, ist der Vollzug der Wegweisung in den Iran gemäss konstanter Praxis grundsätzlich als zumutbar zu erachten (vgl. statt vieler Urteile des BVGer E-1901/2018 vom 11. Februar 2021 E. 8.2 und E-2387/2018 vom 26. Januar 2021 E. 8.5.1).</w:t>
      </w:r>
    </w:p>
    <w:p>
      <w:r>
        <w:rPr>
          <w:b/>
        </w:rPr>
        <w:t>E. 7.3.2</w:t>
      </w:r>
    </w:p>
    <w:p>
      <w:r>
        <w:t>Wie die Vorinstanz zutreffend ausgeführt hat, sind auch keine individuellen Vollzugshindernisse gegeben. An dieser Einschätzung vermag auch das auf Beschwerdeebene geltend gemachte fehlende Beziehungsnetz nichts zu ändern. Gemäss Aktenlage leben nach wie vor mehrere Verwandte im Heimatland ([...]; vgl. A3 Ziff. 3.01; A19 F45-46; A29 F25), zu denen der Beschwerdeführer teilweise immer noch Kontakt pflegt (A29 F24, F26). Insofern ist davon auszugehen, dass er auf ein tragfähiges familiäres Beziehungsnetz und eine gesicherte Wohnsituation im Heimatstaat zurückgreifen kann. Ferner besuchte er eigenen Angaben zufolge mehrere Jahre die Schule und verfügt über Arbeitserfahrungen als (...) sowie (...) (vgl. A3 Ziff. 1.17.04 f.; A19 F7, F10-11, F18-19; A29 F35-38), was ihm beim Aufbau einer neuen wirtschaftlichen Existenz entgegenkommen wird.</w:t>
      </w:r>
    </w:p>
    <w:p>
      <w:r>
        <w:rPr>
          <w:b/>
        </w:rPr>
        <w:t>E. 7.3.3</w:t>
      </w:r>
    </w:p>
    <w:p>
      <w:r>
        <w:t>Auch die im Rahmen des vorliegenden Verfahrens belegten gesundheitlichen Probleme (vgl. oben E. 7.2.3) lassen den Wegweisungsvollzug - wie die Vorinstanz zu Recht feststellte - nicht als unzumutbar erscheinen. Bei medizinischen Problemen kann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m.w.H.). Nach dem Gesagten ergibt sich, dass aufgrund der aktenkundigen gesundheitlichen Probleme des Beschwerdeführers nicht von einer medizinischen Notlage im Sinne der vorstehend dargelegten Rechtsprechung auszugehen ist. Ferner hat sich die Vorinstanz in der angefochtenen Verfügung ausführlich mit der Behandelbarkeit von psychischen Problemen im Iran auseinandergesetzt (vgl. Verfügung des SEM vom 31. Juli 2019, Ziff. III/2.). Entgegen der Ansicht des Beschwerdeführers sind diese Erwägungen vor dem Hintergrund der Rechtsprechung des Bundesverwaltungsgerichts vollumfänglich zu bestätigen (vgl. statt vieler Urteile des BVGer E-4643/2020 vom 23. Oktober 2020 E. 8.5.5 und D-2862/2020 vom 28. September 2020 E. 6.3.2). Auch der ärztliche Bericht vom 14. Januar 2019 vermag - entgegen der Beschwerde - in für den Entscheid massgeblicher Hinsicht keine andere Sichtweise zu begründen, zumal die medizinisch fachliche Einschätzung der Zumutbarkeit nicht mit der rechtlichen Definition der Kriterien für einen zumutbaren Wegweisungsvollzug in einen bestimmten Staat gleichgesetzt werden kann. Abschliessend ist festzuhalten, dass einer allfälligen, im Wegweisungszeitpunkt auftretenden, akuten Suizidalität des Beschwerdeführers im Rahmen der Vollzugsmodalitäten Rechnung zu tragen wäre (vgl. dazu beispielsweise das Urteil des BVGer E-2118/2018 vom 10. Juni 2020 E. 9.4.2.2 in fine).</w:t>
      </w:r>
    </w:p>
    <w:p>
      <w:r>
        <w:rPr>
          <w:b/>
        </w:rPr>
        <w:t>E. 7.3.4</w:t>
      </w:r>
    </w:p>
    <w:p>
      <w:r>
        <w:t>Sodann ist der Wegweisungsvollzug auch unter Berücksichtigung des Kindeswohls nicht unzumutbar. In Anbetracht dessen, dass die Mutter (weiterhin) die wichtigste Bezugsperson des Kindes sein dürfte, ist eine Wegweisung des Beschwerdeführers auch mit dem Aspekt des Kindeswohls im Sinne von Art. 3 KRK zu vereinbaren. Abgesehen davon ist nicht erkennbar, inwiefern durch den Wegweisungsvollzug ein regelmässiger persönlicher Kontakt zwischen dem Beschwerdeführer und seiner Tochter verunmöglicht und diesbezüglich Art. 16 und 18 KRK verletzt werden, zumal ein regelmässiger Kontakt bis dato nicht belegt ist.</w:t>
      </w:r>
    </w:p>
    <w:p>
      <w:r>
        <w:rPr>
          <w:b/>
        </w:rPr>
        <w:t>E. 7.3.5</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und auch sonst nicht zu beanstanden ist (Art. 106 Abs. 1 AsylG und Art. 49 VwVG). Die Beschwerde ist abzuweisen.</w:t>
      </w:r>
    </w:p>
    <w:p>
      <w:r>
        <w:rPr>
          <w:b/>
        </w:rPr>
        <w:t>E. 9</w:t>
      </w:r>
    </w:p>
    <w:p>
      <w:r>
        <w:t>Bei diesem Ausgang des Verfahrens wären die Kosten dem Beschwerde-führer aufzuerlegen (Art. 63 Abs. 1 VwVG). Nachdem mit verfahrensleitender Verfügung vom 25. Oktober 2019 das Gesuch um Gewährung der unentgeltlichen Prozessführung im Sinne von Art. 65 Abs. 1 VwVG gutgeheissen wurde und nicht von einer veränderten finanziellen Lage auszugehen ist,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