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D-4436/2010 vom 5. Juli 2010</w:t>
      </w:r>
    </w:p>
    <w:p>
      <w:r>
        <w:t>Bundesverwaltungsgericht, 2010-07-05, DE</w:t>
      </w:r>
    </w:p>
    <w:p>
      <w:r>
        <w:rPr>
          <w:b/>
        </w:rPr>
        <w:t xml:space="preserve">Quelle: </w:t>
      </w:r>
      <w:r>
        <w:t>https://mcp.opencaselaw.ch/entscheid/bvger_D-4436_2010</w:t>
      </w:r>
    </w:p>
    <w:p>
      <w:r>
        <w:t>FR: TAF D-4436/2010 du 5 juillet 2010</w:t>
      </w:r>
    </w:p>
    <w:p>
      <w:r>
        <w:t>IT: TAF D-4436/2010 del 5 luglio 2010</w:t>
      </w:r>
    </w:p>
    <w:p>
      <w:pPr>
        <w:pStyle w:val="Heading2"/>
      </w:pPr>
      <w:r>
        <w:t>Regeste</w:t>
      </w:r>
    </w:p>
    <w:p>
      <w:r>
        <w:t>Asyl und Wegweisung","Asylgesuch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Im vorinstanzlichen Aktendossier sind weder Angaben dazu enthalten, wann die damit beauftragte schweizerische Botschaft in Sri Lanka dem Beschwerdeführer die Verfügung des BFM übermittelte, noch liegt eine Empfangsbestätigung vor. Der genaue Zeitpunkt der Eröffnung der angefochtenen Verfügung steht somit nicht fest. Indessen trägt die Beweislast für die erfolgte Zustellung und deren Zeitpunkt die Behörde, welche die Zustellung veranlasst hat (vgl. Felix Uhlmann/Alexandra Schwank, in: Bernhard Waldmann/Philippe Weissenberger [Hrsg.], Praxiskommentar VwVG, Zürich/Basel/Genf 2009, Art. 34, N 10). Der Ausgangsstempel der vorinstanzlichen Verfügung datiert vom 27. April 2010. Da in dieser unter anderem die Stellungnahme des Beschwerdeführers vom 4. März 2010 (Eingang bei der schweizerischen Vertretung in Colombo am 9. März 2010 und von der Botschaft mit Schreiben vom 22. März 2010 an das BFM weitergeleitet) erwähnt ist, muss die angefochtene Verfügung mithin sicherlich nach dem 22. März verfasst worden sein. Das auf der Verfügung angebrachte Datum vom 27. Februar 2010 (vgl. A8, S. 1) erweist sich somit als falsch. Wenn man davon ausgeht, dass das Verfügungsdatum identisch ist mit dem gestempelten Ausgangsdatum beim BFM und somit vom 27. April 2010 datiert, ist es - unter den gegebenen Umständen eines Asylverfahrens im Ausland - durchaus plausibel, dass diese dem Beschwerdeführer gemäss eigenen Angaben am 4. Mai 2010 eröffnet worden ist. Ein früheres Eröffnungsdatum ist nach Aktenlage nicht nachgewiesen. Die Eingabe des Beschwerdeführers vom 14. Mai 2010 ging bei der schweizerischen Botschaft in Colombo am 28. Mai 2010 ein. Somit ist im vorliegenden Fall davon auszugehen, dass die Beschwerde innert der gesetzlichen Frist (Art. 108 Abs. 1 AsylG) erhoben worden ist.</w:t>
      </w:r>
    </w:p>
    <w:p>
      <w:r>
        <w:rPr>
          <w:b/>
        </w:rPr>
        <w:t>E. 1.4</w:t>
      </w:r>
    </w:p>
    <w:p>
      <w:r>
        <w:t>Die Beschwerde ist somit als frist- und formgerecht eingereicht zu erachten; der Beschwerdeführer ist legitimiert (Art. 108 Abs. 1 AsylG; Art. 105 AsylG i.V.m. Art. 37 VGG sowie Art. 48 Abs. 1 und Art. 52 VwVG). Auf die Beschwerde ist folglich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 Vorliegend ging das BFM offenbar davon aus, der Sachverhalt sei schon aufgrund der schriftlichen Eingaben entscheidreif erstellt. Diese Sichtweise erscheint als vertretbar, sind doch die Eingaben vom 2. Dezember 2007, vom 10. Februar 2008 sowie vom 4. März 2010 relativ detailliert und klar formuliert. Unter diesen Umständen erübrigte sich für die Vorinstanz die Aufbietung des Beschwerdeführers zu einer Befragung. Da den vom Bundesverwaltungsgericht ferner aufgeführten Erfordernissen (Gewährung des rechtlichen Gehörs; Begründung des Verzichts auf eine Befragung) ebenfalls Rechnung getragen wurde, ist die Vorgehensweise des BFM nicht zu beanstanden.</w:t>
      </w:r>
    </w:p>
    <w:p>
      <w:r>
        <w:rPr>
          <w:b/>
        </w:rPr>
        <w:t>E. 4.4</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Einleitend ist festzuhalten, dass das Bundesverwaltungsgericht in Übereinstimmung mit der Vorinstanz die Glaubhaftigkeit der Vorbringen des Beschwerdeführers betreffend die Vertreibung seiner Familie im Jahr 1991 und seine Inhaftierung Ende 1998 nicht in Zweifel zieht. Diese Vorkommnisse liegen jedoch im Zeitpunkt der Asyleinreichung bereits viele Jahre zurück. Im aktuellen Zeitpunkt können diese Ereignisse mithin nicht mehr als kausal für die beantragte Einreise in die Schweiz und die Asylgewährung angesehen werden. Dies umso weniger, als die nunmehr geltend gemachten Fluchtgründe insgesamt nicht den Eindruck einer zielgerichtet und asylrelevant verfolgten Person vor Ort vermitteln. Die subjektiven Ängste des Beschwerdeführers vor Repressalien erscheinen zwar namentlich aufgrund der geltend gemachten Vorverfolgung als nachvollziehbar. Aufgrund der Aktenlage ist davon auszugehen, dass es seit 1998 zu keinen Einreise relevanten Vorfällen mehr gekommen ist. Die Furcht des Beschwerdeführers vor einer Verfolgung in seinem Heimatland ist daher - in Übereinstimmung mit den Ausführungen des BFM - als objektiv nicht begründet im Sinne des Asylgesetzes einzustufen.</w:t>
      </w:r>
    </w:p>
    <w:p>
      <w:r>
        <w:rPr>
          <w:b/>
        </w:rPr>
        <w:t>E. 5.2</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(vor allem im Grossraum Colombo) ausgesetzt sind, kommt indes aufgrund mangelnder Intensität kein Verfolgungscharakter im Sinne von Art. 3 AsylG zu. Der aktuelle Wohnsitz des Beschwerdeführers ist im nördlichen von Sri Lanka in C._______, weshalb der Beschwerdeführer - welcher gemäss eigenen Angaben ohnehin nie Mitglied der LTTE war und sich auch nicht politisch engagierte - aller Voraussicht nach nicht mit diesbezüglichen Repressalien zu rechnen haben wird. Entsprechend vermögen die weiteren Ausführungen des Beschwerdeführers in den Eingaben zur generellen Gefährdungssituation und zur persönlichen Lebenssituation nicht zur Anerkennung der Flüchtlingseigenschaft zu führen. Er vermag mithin nicht substanziiert darzutun, inwiefern das BFM zu Unrecht geschlossen habe, er sei nicht schutzbedürftig im Sinne des AsylG.</w:t>
      </w:r>
    </w:p>
    <w:p>
      <w:r>
        <w:rPr>
          <w:b/>
        </w:rPr>
        <w:t>E. 6</w:t>
      </w:r>
    </w:p>
    <w:p>
      <w:r>
        <w:t>Zusammenfassend ist festzustellen, dass der Beschwerdeführer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an sich dem Beschwerdeführer aufzuerlegen (Art. 63 Abs. 1VwVG); aus verwaltungsökonomischen Gründen wird indessen in Anwendung von Art. 6 Bst. b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