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D-442/2012 vom 23. Februar 2012</w:t>
      </w:r>
    </w:p>
    <w:p>
      <w:r>
        <w:t>Bundesverwaltungsgericht, 2012-02-23, DE</w:t>
      </w:r>
    </w:p>
    <w:p>
      <w:r>
        <w:rPr>
          <w:b/>
        </w:rPr>
        <w:t xml:space="preserve">Quelle: </w:t>
      </w:r>
      <w:r>
        <w:t>https://mcp.opencaselaw.ch/entscheid/bvger_D-442_2012</w:t>
      </w:r>
    </w:p>
    <w:p>
      <w:r>
        <w:t>FR: TAF D-442/2012 du 23 février 2012</w:t>
      </w:r>
    </w:p>
    <w:p>
      <w:r>
        <w:t>IT: TAF D-442/2012 del 23 febbraio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3.1</w:t>
      </w:r>
    </w:p>
    <w:p>
      <w:r>
        <w:t>Das BFM kam in der angefochtenen Verfügung vom 27. Dezember 2011 zum Schluss, dass die Voraussetzungen für eine Familienzusammenführung nicht gegeben seien. Nach Prüfung der Akten erachtet das Bundesverwaltungsgericht diese Einschätzung als rechtmässig. Die Ausführungen in der Beschwerdeeingabe vermögen zu keiner anderen Beurteilung zu führen.</w:t>
      </w:r>
    </w:p>
    <w:p>
      <w:r>
        <w:rPr>
          <w:b/>
        </w:rPr>
        <w:t>E. 3.2</w:t>
      </w:r>
    </w:p>
    <w:p>
      <w:r>
        <w:t>Der Beschwerdeführer verliess gemäss eigenen Angaben sein Heimatland am 12. September 2003 und gelangte nach (Land 1), wo er sich über drei Jahre in einem Flüchtlingslager aufhielt, ehe er sich weiter nach E._______ begab und dort rund fünf Monate verbrachte (A 1 S. 6). Mit seiner in (Land 2) kennengelernten Lebenspartnerin lebte er in der Folgezeit (ein Jahr und neun Monate) in (Land 3) zusammen. Unter anderem verheiratete er sich mit ihr nach Brauch in diesem Land (A 12 S. 2, 3 und 4). In Bezug auf die Lebenspartnerin kann - wie die Vorinstanz zutreffend ausführte - nicht davon die Rede sein, der Beschwerdeführer hätte vor der Ausreise aus Eritrea mit B._______ in einer Familiengemeinschaft gelebt. Die Voraussetzungen von Art. 51 Abs. 1 und 4 AsylG sind demnach nicht erfüllt.</w:t>
      </w:r>
    </w:p>
    <w:p>
      <w:r>
        <w:rPr>
          <w:b/>
        </w:rPr>
        <w:t>E. 3.3</w:t>
      </w:r>
    </w:p>
    <w:p>
      <w:r>
        <w:t>Gemäss Protokoll der Erstbefragung (30. Dezember 2008) lebte der Beschwerdeführer an derselben Wohnadresse in D._______ wie seine leibliche Mutter N.F. (A 1 S. 1 und 3). Während des Militärdienstes (ab 1995) war er in D._______ registriert und kehrte nur im Urlaub jeweils nach Hause zurück (A 1 S. 2). Sein Sohn, C._______, lebte bei dessen Mutter S.G. in D._______ (A 1 S. 3). Anlässlich der Bundesanhörung (22. April 2010) führte der Beschwerdeführer aus, seine Mutter lebe noch in D._______ und sein Sohn bei seiner (dessen) Mutter in einem kleinen Dorf namens M. (A 12 S. 2). Aufgrund dieser Angaben ist davon auszugehen, dass sich C._______ mit seiner Mutter an einer vom Beschwerdeführer abweichenden Wohnadresse aufhielt beziehungsweise der Beschwerdeführer mit ihnen nicht in einer Familiengemeinschaft zusammenlebte. Diese Schlussfolgerung wird noch dadurch genährt, als dass der Beschwerdeführer - ausser dem eben Erwähnten - bei den jeweiligen Befragungen nie ein Wort über die beiden Personen verlor. Schliesslich bestätigt der Beschwerdeführer diesen Sachverhaltsumstand ausdrücklich in der Beschwerde, wonach es ihm wegen des Militärdienstes nicht möglich gewesen sei, bei seiner "Familie" zu leben. Demnach ist in seinem Fall in Bezug auf C._______ die "conditio sine qua non" des Familienasyls - das Bestehen einer Familiengemeinschaft zum Zeitpunkt der Flucht - als nicht erfüllt zu erkennen. Die in der Rechtsmitteleingabe geschilderten Umstände im Zusammenhang mit der gegenwärtigen Aufenthaltssituation seines Sohnes in Eritrea sind vorliegend nicht entscheidrelevant.</w:t>
      </w:r>
    </w:p>
    <w:p>
      <w:r>
        <w:rPr>
          <w:b/>
        </w:rPr>
        <w:t>E. 3.4</w:t>
      </w:r>
    </w:p>
    <w:p>
      <w:r>
        <w:t>Sind die Voraussetzungen des Familienasyls im Sinne von Art. 51 Abs. 1 und 2 AsylG nicht erfüllt, kann Art. 8 der Konvention vom 4. November 1950 zum Schutze der Menschenrechte und Grundfreiheiten (EMRK, SR 0.101) nicht ergänzend angewendet werden. Die Frage eines allfälligen Anspruchs auf Familiennachzug gestützt auf diese Bestimmung wäre vom Beschwerdeführer bei den dafür zuständigen ausländerrechtlichen Behörden geltend zu machen und von diesen zu prüfen (vgl. Entscheidungen und Mitteilungen der Schweizerischen Asylrekurskommission [EMARK] 2002 Nr. 6, EMARK 2006 Nr. 8). Die Berufung des Beschwerdeführers auf diese völkerrechtliche Bestimmung in der Rechtsmitteleingabe stösst somit ins Leere.</w:t>
      </w:r>
    </w:p>
    <w:p>
      <w:r>
        <w:rPr>
          <w:b/>
        </w:rPr>
        <w:t>E. 3.5</w:t>
      </w:r>
    </w:p>
    <w:p>
      <w:r>
        <w:t>Weiter wurde mit dem Gesuch um Familienasyl weder auf erstinstanzlicher noch auf Beschwerdeebene eine Gefährdung des Sohnes oder der Lebenspartnerin geltend gemacht, sodass auch nicht von einem Asylgesuch aus dem Ausland für die betreffenden Personen ausgegangen werden muss (vgl. BVGE 2007/19 E. 3.3 S. 224 f.).</w:t>
      </w:r>
    </w:p>
    <w:p>
      <w:r>
        <w:rPr>
          <w:b/>
        </w:rPr>
        <w:t>E. 3.6</w:t>
      </w:r>
    </w:p>
    <w:p>
      <w:r>
        <w:t>Zusammenfassend ist festzuhalten, dass die Voraussetzungen für den Einschluss von B._______ und C._______ in das Familienasyl gemäss Art. 51 Abs. 1 AsylG respektive die Bewilligung ihrer Einreise in die Schweiz gemäss Art. 51 Abs. 4 AsylG nicht erfüllt sind. Das BFM hat somit deren Einreise in die Schweiz sowie das Familienasylgesuch zu Recht abgelehnt.</w:t>
      </w:r>
    </w:p>
    <w:p>
      <w:r>
        <w:rPr>
          <w:b/>
        </w:rPr>
        <w:t>E. 4</w:t>
      </w:r>
    </w:p>
    <w:p>
      <w:r>
        <w:t>Aus diesen Erwägungen ergibt sich, dass die Verfügung des BFM vom 27. Dezember 2011 Bundesrecht nicht verletzt (Art. 106 AsylG). Die Beschwerde ist demnach abzuweisen.</w:t>
      </w:r>
    </w:p>
    <w:p>
      <w:r>
        <w:rPr>
          <w:b/>
        </w:rPr>
        <w:t>E. 5</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 sind mit dem am 9. Februar 2012 in der gleichen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