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D-4427/2024 vom 12. Juni 2024</w:t>
      </w:r>
    </w:p>
    <w:p>
      <w:r>
        <w:t>Bundesverwaltungsgericht, 2024-06-12, IT</w:t>
      </w:r>
    </w:p>
    <w:p>
      <w:r>
        <w:rPr>
          <w:b/>
        </w:rPr>
        <w:t xml:space="preserve">Quelle: </w:t>
      </w:r>
      <w:r>
        <w:t>https://mcp.opencaselaw.ch/entscheid/bvger_D-4427_2024_d20240612</w:t>
      </w:r>
    </w:p>
    <w:p>
      <w:r>
        <w:t>FR: TAF D-4427/2024 du 12 juin 2024</w:t>
      </w:r>
    </w:p>
    <w:p>
      <w:r>
        <w:t>IT: TAF D-4427/2024 del 12 giugno 2024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12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750.– sono poste a carico del ricorrente. Tale ammontare è prelevato sull'anticipo spese, del medesimo importo, versato dal ricorrente il 6 settembre 2024.</w:t>
      </w:r>
    </w:p>
    <w:p>
      <w:r>
        <w:rPr>
          <w:b/>
        </w:rPr>
        <w:t>E. 3</w:t>
      </w:r>
    </w:p>
    <w:p>
      <w:r>
        <w:t>Questa sentenza è comunicata al ricorrente, alla SEM e all'autorità canto- nale competente.</w:t>
      </w:r>
    </w:p>
    <w:p>
      <w:r>
        <w:t>Il giudice unico: La cancelliera:</w:t>
      </w:r>
    </w:p>
    <w:p>
      <w:r>
        <w:t>Manuel Borla Ambra Antognoli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