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D-4425/2022 vom 3. März 2023</w:t>
      </w:r>
    </w:p>
    <w:p>
      <w:r>
        <w:t>Bundesverwaltungsgericht, 2023-03-03, FR</w:t>
      </w:r>
    </w:p>
    <w:p>
      <w:r>
        <w:rPr>
          <w:b/>
        </w:rPr>
        <w:t xml:space="preserve">Quelle: </w:t>
      </w:r>
      <w:r>
        <w:t>https://mcp.opencaselaw.ch/entscheid/bvger_D-4425_2022</w:t>
      </w:r>
    </w:p>
    <w:p>
      <w:r>
        <w:t>FR: TAF D-4425/2022 du 3 mars 2023</w:t>
      </w:r>
    </w:p>
    <w:p>
      <w:r>
        <w:t>IT: TAF D-4425/2022 del 3 marzo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w:t>
      </w:r>
    </w:p>
    <w:p>
      <w:r>
        <w:t>D-4425/2022 Page 5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2 LAsi).</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[RS 142.20] en relation avec l’art. 49 PA ; cf. ATAF 2014/26 consid. 5).</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w:t>
      </w:r>
    </w:p>
    <w:p>
      <w:r>
        <w:rPr>
          <w:b/>
        </w:rPr>
        <w:t>E. 2.3</w:t>
      </w:r>
    </w:p>
    <w:p>
      <w:r>
        <w:t>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w:t>
      </w:r>
    </w:p>
    <w:p>
      <w:r>
        <w:t>Il est renoncé à un échange d'écritures (art. 111a al. 1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5.2‒5.6).</w:t>
      </w:r>
    </w:p>
    <w:p>
      <w:r>
        <w:rPr>
          <w:b/>
        </w:rPr>
        <w:t>E. 4.2</w:t>
      </w:r>
    </w:p>
    <w:p>
      <w:r>
        <w:t>La crainte face à une persécution à venir, telle que comprise à l'art. 3 LAsi, contient un élément objectif, au regard d'une situation ancrée dans les faits, et intègre également dans sa définition un élément subjectif. Sera reconnu</w:t>
      </w:r>
    </w:p>
    <w:p>
      <w:r>
        <w:t>D-4425/2022 Page 6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Il importe d’examiner si le recourant a été exposé à de sérieux préjudices déterminants en matière d’asile avant son arrivée en Suisse, respectivement s’il est fondé à craindre une future persécution, en cas de retour dans son pays. En l'occurrence, les préjudices personnels exposés par le recourant et les autres motifs qui ont conduit à son départ de Guinée ne sont pas pertinents au sens de l’art. 3 LAsi.</w:t>
      </w:r>
    </w:p>
    <w:p>
      <w:r>
        <w:rPr>
          <w:b/>
        </w:rPr>
        <w:t>E. 5.2</w:t>
      </w:r>
    </w:p>
    <w:p>
      <w:r>
        <w:t>Concernant les maltraitances subies en lien avec son séjour dans une école coranique au Sénégal, il y a lieu de relever que ces préjudices se seraient déroulés dans un Etat dont le requérant ne possède pas la nationalité. Quant aux actes allégués qui auraient été perpétrés par la tante du recourant, leur source ne se trouverait pas dans l’un des motifs énumérés à l’art. 3 LAsi. Pour le surplus, le Tribunal renvoie aux considérants de la décision attaquée (cf. ch. II. 1 et 2, p. 4 s.). Par ailleurs, le recourant n’a pas indiqué avoir subi des tortures ou des mauvais traitements de la part des autorités de son pays lors de l’arrestation dont il dit avoir été l’objet. Il faut ainsi considérer que les ennuis allégués, à les supposer conformes à la réalité, n’atteignent pas le degré d’intensité requis pour être pertinents au regard de l’art. 3 LAsi.</w:t>
      </w:r>
    </w:p>
    <w:p>
      <w:r>
        <w:rPr>
          <w:b/>
        </w:rPr>
        <w:t>E. 5.3</w:t>
      </w:r>
    </w:p>
    <w:p>
      <w:r>
        <w:t>Il faut également considérer, en tout état de cause, que l’intéressé ne sera pas ennuyé en cas de retour en Guinée, ce d’autant que sa simple participation alléguée à la manifestation précitée, de surcroît en (…), soit il y a maintenant plus de (…) ans déjà, était, selon ses dires, principalement motivée par la destruction du quartier de C._______. L’arrestation qui en aurait</w:t>
      </w:r>
    </w:p>
    <w:p>
      <w:r>
        <w:t>D-4425/2022 Page 7 découlé n’aurait ainsi pas eu pour motif l’appartenance au FNDC, et ce quand bien même ce parti aurait été l’un des organisateurs de dite manifestation. Le recourant aurait en effet été arrêté avec d’autres jeunes puis relâché le lendemain, sans autre poursuite. Le 5 septembre 2021, l’ancien président Alpha Condé a été renversé dans un coup d’Etat par le colonel Mamadi Doumbouya (cf. United States Departement of State, 2021 Country Reports on Human Rights Practices : Guinea, 12.04.2022, &lt; https://www.state.gov/reports/2021-country-reports- on-human-rights-practices/guinea &gt;, consulté le 14.02.2023). Ce dernier est à l’heure actuelle à la tête de la junte militaire qui dirige le pays. Il est fait état d’une augmentation d’atteintes aux droits humains à la suite de ce coup d’Etat (cf. United States Departement of State, op. cit.). Toutefois, rien ne permet de penser que le nouveau gouvernement en place aurait une attitude particulièrement répressive à l’encontre de personnes ayant un profil aussi peu affiché que celui allégué par l’intéressé, lequel n’aurait, à la connaissance des autorités guinéennes, participé qu’à une seule manifestation il y a des années déjà, et ce alors qu’il aurait été en outre encore mineur. Concernant la situation de la communauté peule, il y a lieu de rappeler qu’elle constitue l’ethnie la plus importante du pays et que les tensions avec les Malinkés sont certes indéniables. Toutefois, ce clivage entre ces ethnies correspond principalement à une lutte pour le pouvoir. Dans ces conditions, il n’y a pas lieu, à ce jour, de reconnaître une persécution collective à l’encontre des Peuls de Guinée ou que ces derniers soient concrètement menacés dans leur pays d’origine (voir en particulier l’analyse, toujours dans l’ensemble d’actualité, figurant dans l’arrêt du Tribunal D-6450/2017 du 5 juillet 2018, consid. 6.4 et réf. cit. ; voir également la motivation topique, applicable ici mutatis mutandis, se trouvant dans l’arrêt du Tribunal E-6868/2018 du 18 janvier 2022, consid. 7.1, et réf. cit.). Pour le surplus, le Tribunal renvoie, ici aussi, à la motivation de la décision attaquée (ch. II 3 p. 5).</w:t>
      </w:r>
    </w:p>
    <w:p>
      <w:r>
        <w:rPr>
          <w:b/>
        </w:rPr>
        <w:t>E. 5.4</w:t>
      </w:r>
    </w:p>
    <w:p>
      <w:r>
        <w:t>Au vu de ce qui précède, le recourant n’est pas objectivement fondé à craindre de subir de sérieux préjudices au sens de l’art. 3 al. 1 LAsi, en cas de retour en Guinée.</w:t>
      </w:r>
    </w:p>
    <w:p>
      <w:r>
        <w:rPr>
          <w:b/>
        </w:rPr>
        <w:t>E. 5.5</w:t>
      </w:r>
    </w:p>
    <w:p>
      <w:r>
        <w:t>Il s'ensuit que le recours, en tant qu'il conteste le refus de reconnaissance de la qualité de réfugié et de l’octroi de l’asile, doit être rejeté.</w:t>
      </w:r>
    </w:p>
    <w:p>
      <w:r>
        <w:t>D-4425/2022 Page 8</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Dans le contexte de l’examen de la question de l’exécution du renvoi, il s’agit tout d’abord de déterminer si les règles relatives au respect du droit d’être entendu ont été respectées.</w:t>
      </w:r>
    </w:p>
    <w:p>
      <w:r>
        <w:rPr>
          <w:b/>
        </w:rPr>
        <w:t>E. 7.2</w:t>
      </w:r>
    </w:p>
    <w:p>
      <w:r>
        <w:t>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w:t>
      </w:r>
    </w:p>
    <w:p>
      <w:r>
        <w:t>D-4425/2022 Page 9 rendre (cf. ATF 134 I 83 consid. 4.1 ; 133 III 235 consid. 5.2 et réf. cit. ; ATAF 2013/23 consid. 6.1.1). Le droit d'être entendu étant de nature formelle, sa violation conduit en principe l'annulation de la décision attaquée, indépendamment des chances de succès du recours sur le fond, et au renvoi de la cause à l'instance inférieure pour nouvelle décision (cf. ATAF 2014/38 consid. 8 ; 2010/35 consid. 4.1.1). L'autorité de recours peut toutefois renoncer à annuler la décision lorsque la violation constatée n'est pas d'une gravité particulière, le cas ne présente pas de difficulté particulière, le vice a été guéri durant la procédure de recours et l'autorité saisie peut revoir librement l'état de fait et l'application du droit (cf. ATAF 2009/54 consid. 2.5).</w:t>
      </w:r>
    </w:p>
    <w:p>
      <w:r>
        <w:rPr>
          <w:b/>
        </w:rPr>
        <w:t>E. 7.3</w:t>
      </w:r>
    </w:p>
    <w:p>
      <w:r>
        <w:t>La décision apparaît insuffisamment motivée s’agissant de l’exigibilité de l’exécution du renvoi sous l’angle de l’état de santé de l’intéressé. Elle est muette sur son état psychique, l’autorité précédente ayant simplement indiqué qu’il n’a pas fait valoir de problèmes graves de santé, hormis des problèmes de douleurs aux membres pour lesquelles il avait été traité. Lors de l’entretien sur les motifs d’asile, le recourant a indiqué avoir régulièrement des cauchemars et des insomnies du fait de ce qu’il avait vécu et avoir consulté de ce fait une psychologue (cf. procès-verbal d’audition du 24 janvier 2022, Q97). Les différents rapports médicaux font également état d’un diagnostic d’état de stress post-traumatique (F 43.01), auquel s’ajoute la prise régulière de médicaments et l’injonction de poursuivre le suivi psychologique. Il ressort de ce qui précède, que l’autorité précédente n’a tenu aucun compte des allégations du recourant concernant son état mental et n’a pas apprécié les pièces médicales se trouvant déjà au dossier. Elle devait examiner cet aspect dans le cadre de l’exécution du renvoi et ne pouvait pas se contenter de motiver sa décision comme elle l’a fait.</w:t>
      </w:r>
    </w:p>
    <w:p>
      <w:r>
        <w:rPr>
          <w:b/>
        </w:rPr>
        <w:t>E. 7.4</w:t>
      </w:r>
    </w:p>
    <w:p>
      <w:r>
        <w:t>Dans son mémoire de recours (voir p. 11 ch. 23), l’intéressé s’appuie sur un rapport socio-psychologique datant du 27 janvier 2022 mettant en avant son comportement. Or, en l’état du dossier en mains du Tribunal, il apparaît que ce document n’en fait pas partie. A supposer que cette pièce ait été préalablement remise au SEM, il est rappelé à l’autorité précédente que la tenue correcte du dossier fait aussi partie du droit d’être entendu.</w:t>
      </w:r>
    </w:p>
    <w:p>
      <w:r>
        <w:rPr>
          <w:b/>
        </w:rPr>
        <w:t>E. 7.5</w:t>
      </w:r>
    </w:p>
    <w:p>
      <w:r>
        <w:t>Les recours contre les décisions du SEM en matière d'asile et de renvoi sont en principe des recours en réforme, exceptionnellement des recours en</w:t>
      </w:r>
    </w:p>
    <w:p>
      <w:r>
        <w:t>D-4425/2022 Page 10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voir également MADELEINE CAMPRUBI, in : VwVG, Kommentar zum Bundesgesetz über das Verwaltungsverfahren, Auer/Müller/ Schindler [éd.], 2ème éd. 2019, ad art. 61 no 7 ss p. 878 ss ; WEISSENBERGER/ HIRZEL, in : Praxiskommentar VwVG, Waldmann/Weissenberger [éd.], 2ème éd. 2016, ad art. 61 no 15 ss p. 1263 ss ; MOSER, et al., Prozessieren vor dem Bundesverwaltungsgericht, 3ème éd. 2022, p. 261 ss).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Au vu de ce qui précède, il appartient au SEM et non au Tribunal de mener à chef les compléments d’instruction indispensables qui s’imposent en l’espèce pour ce qui a trait à l’examen des conditions posées par l’art. 83 al. 4 LEI.</w:t>
      </w:r>
    </w:p>
    <w:p>
      <w:r>
        <w:rPr>
          <w:b/>
        </w:rPr>
        <w:t>E. 8</w:t>
      </w:r>
    </w:p>
    <w:p>
      <w:r>
        <w:t>Partant, le recours doit être admis en ce qu’il porte sur l’exécution du renvoi. Les chiffes 4 et 5 du dispositif de la décision querellée sont annulés pour violation du droit d’être entendu (art. 29 al 2 Cst.) en raison de la non-appréciation d’allégués et de moyens de preuve importants et de la motivation insuffisante de la décision, ainsi que pour complément d’instruction. La cause est renvoyée au SEM pour nouvelle décision dans le sens des considérants. Pour cette raison, il n’y a pas lieu d’examiner plus en avant dans le cadre de la présente procédure les autres arguments du recourant relatifs à la question de l’exécution du renvoi (voir p. 9 ss du mémoire), qu’il conviendra toutefois d’apprécier en première instance, avant que le SEM ne rende sa nouvelle décision.</w:t>
      </w:r>
    </w:p>
    <w:p>
      <w:r>
        <w:rPr>
          <w:b/>
        </w:rPr>
        <w:t>E. 9</w:t>
      </w:r>
    </w:p>
    <w:p>
      <w:r>
        <w:t>Le recours s'avérant manifestement infondé concernant les questions de l’asile et du renvoi, respectivement manifestement fondé pour le surplus, il</w:t>
      </w:r>
    </w:p>
    <w:p>
      <w:r>
        <w:t>D-4425/2022 Page 11 peut être traité dans une procédure à juge unique, avec l'approbation d'une seconde juge (art. 111 let. e LAsi).</w:t>
      </w:r>
    </w:p>
    <w:p>
      <w:r>
        <w:rPr>
          <w:b/>
        </w:rPr>
        <w:t>E. 10</w:t>
      </w:r>
    </w:p>
    <w:p>
      <w:r>
        <w:t>Le Tribunal ayant statué directement sur le recours, la requête de dispense du versement de l’avance de frais (art. 63 al. 4 PA) est sans objet.</w:t>
      </w:r>
    </w:p>
    <w:p>
      <w:r>
        <w:rPr>
          <w:b/>
        </w:rPr>
        <w:t>E. 11.1</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MARCEL MAILLARD, in : Praxiskommentar VwVG, Waldmann/Weissenberger [éd.], 2ème éd., 2016, ad art. 63 no 14, p. 1314).</w:t>
      </w:r>
    </w:p>
    <w:p>
      <w:r>
        <w:rPr>
          <w:b/>
        </w:rPr>
        <w:t>E. 11.2</w:t>
      </w:r>
    </w:p>
    <w:p>
      <w:r>
        <w:t>Dans la mesure où le recourant n’obtient que partiellement gain de cause, des frais de procédure réduits devraient en partie être mis à sa charge (art. 63 al. 1, 2ème phrase PA, en relation avec les art. 1 ss du règlement du 21 février 2008 concernant les frais, dépens et indemnités fixés par le Tribunal administratif fédéral [FITAF, RS 173.320.2]). Toutefois, il y a lieu d’admettre la demande d’assistance judiciaire totale et de statuer ainsi sans frais, les conclusions du présent recours n'étant en effet pas d'emblée vouées à l'échec en totalité et l'indigence de l’intéressé devant être admise (art. 65 al. 1 PA ; voir aussi art. 102m al. 1 let. a LAsi).</w:t>
      </w:r>
    </w:p>
    <w:p>
      <w:r>
        <w:rPr>
          <w:b/>
        </w:rPr>
        <w:t>E. 12.1</w:t>
      </w:r>
    </w:p>
    <w:p>
      <w:r>
        <w:t>Ayant obtenu partiellement gain de cause, l’intéressé a droit à une indemnité à titre de dépens partiels, à la charge du SEM, pour les frais indispensables occasionnés par la présente procédure (art. 64 al. 1 PA, en relation avec l'art. 7 FITAF). L'octroi de dépens prime l'assistance judiciaire totale (cf. par ex. arrêt du Tribunal D-1484/2019 du 25 avril 2019, p. 7 et réf. cit.). En l'absence de dépôt d'un décompte de prestations, l’indemnité est fixée sur la base du dossier (art. 14 FITAF).</w:t>
      </w:r>
    </w:p>
    <w:p>
      <w:r>
        <w:rPr>
          <w:b/>
        </w:rPr>
        <w:t>E. 12.2</w:t>
      </w:r>
    </w:p>
    <w:p>
      <w:r>
        <w:t>La mandataire n’ayant pas déposé un tel décompte, il y a lieu d’arrêter ces dépens à 400 francs.</w:t>
      </w:r>
    </w:p>
    <w:p>
      <w:r>
        <w:rPr>
          <w:b/>
        </w:rPr>
        <w:t>E. 13.1</w:t>
      </w:r>
    </w:p>
    <w:p>
      <w:r>
        <w:t>S'agissant de l'activité effectuée pour la partie relative aux questions de l’asile et du renvoi, une indemnité doit être allouée à la mandataire d'office (art. 8 à 11 en relation avec les art. 12 et 14 FITAF). En cas de représentation d’office, selon la pratique du Tribunal dans le domaine de</w:t>
      </w:r>
    </w:p>
    <w:p>
      <w:r>
        <w:t>D-4425/2022 Page 12 l’asile, le tarif horaire est de 200 à 220 francs pour les avocats (art. 10 al. 2 et 12 FITAF).</w:t>
      </w:r>
    </w:p>
    <w:p>
      <w:r>
        <w:rPr>
          <w:b/>
        </w:rPr>
        <w:t>E. 13.2</w:t>
      </w:r>
    </w:p>
    <w:p>
      <w:r>
        <w:t>Au vu des éléments du dossier, en tenant en particulier compte du fait que les arguments en matière d’asile et de renvoi étaient d’emblée voués à l’échec, il sied d’octroyer à la mandataire d’office du recourant, ex aequo et bono, une indemnité de 200 francs pour les frais utiles afférents à ces questions.</w:t>
      </w:r>
    </w:p>
    <w:p>
      <w:r>
        <w:t>(dispositif page suivante)</w:t>
      </w:r>
    </w:p>
    <w:p>
      <w:r>
        <w:t>D-4425/2022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