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D-4418/2011 vom 14. September 2011</w:t>
      </w:r>
    </w:p>
    <w:p>
      <w:r>
        <w:t>Bundesverwaltungsgericht, 2011-09-14, DE</w:t>
      </w:r>
    </w:p>
    <w:p>
      <w:r>
        <w:rPr>
          <w:b/>
        </w:rPr>
        <w:t xml:space="preserve">Quelle: </w:t>
      </w:r>
      <w:r>
        <w:t>https://mcp.opencaselaw.ch/entscheid/bvger_D-4418_2011</w:t>
      </w:r>
    </w:p>
    <w:p>
      <w:r>
        <w:t>FR: TAF D-4418/2011 du 14 septembre 2011</w:t>
      </w:r>
    </w:p>
    <w:p>
      <w:r>
        <w:t>IT: TAF D-4418/2011 del 14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formeller Hinsicht ist zunächst festzuhalten, dass gemäss Art. 19 Abs. 1 AsylG ein Asylgesuch im Ausland bei einer schweizerischen Vertretung gestellt werden kann, die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Im vorliegenden Fall holte die Botschaft bei der Beschwerdeführerin weitere Informationen ein und das BFM gewährte ihr das rechtliche Gehör zur beabsichtigten Ablehnung des Asylgesuchs, was praxisgemäss erscheint (vgl. BVGE 2007/30).</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Bei diesem Entscheid gelten restriktive Voraussetzungen für die Erteilung der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2004 Nr. 21 E. 2b, EMARK 1997 Nr. 15 E. 2.e-g). Ausschlaggebend für die Erteilung der Einreisebewilligung ist die Schutzbedürftigkeit der betroffenen Person (vgl. EMARK 1997 Nr. 15 E. 2c), mithin die Frage, ob eine Gefährdung im Sinne von Art. 3 AsylG glaubhaft gemacht wird und ob der Verbleib am Aufenthaltsort für die Dauer der Sachverhaltsabklärung zugemutet werden kann.</w:t>
      </w:r>
    </w:p>
    <w:p>
      <w:r>
        <w:rPr>
          <w:b/>
        </w:rPr>
        <w:t>E. 6.1</w:t>
      </w:r>
    </w:p>
    <w:p>
      <w:r>
        <w:t>Einleitend ist festzuhalten, dass sich die Beschwerdeführerin in der Beschwerde vom 22. Juli 2011 nicht explizit mit den substanziierten und überzeugenden Erwägungen der Vorinstanz auseinandersetzen. Vielmehr wiederholt sie in verkürzter Version die bereits im Verfahren vor dem BFM gemachten Sachverhaltsvorbringen und verweist auf ihre schwierigen Lebensbedingungen in Sri Lanka. Sie geniesse keinen Schutz, da sie ohne männliches Familienmitglied lebe. Unbekannte Personen hätten einst versucht, sie zu entführen.</w:t>
      </w:r>
    </w:p>
    <w:p>
      <w:r>
        <w:rPr>
          <w:b/>
        </w:rPr>
        <w:t>E. 6.2</w:t>
      </w:r>
    </w:p>
    <w:p>
      <w:r>
        <w:t>Das BFM hat in der angefochtenen Verfügung zu Recht befunden, dass die Beschwerdeführerinnen nicht von asylrechtlich relevanter Verfolgung bedroht sind. Es bestehen aufgrund der Aktenlage keinerlei Anhaltspunkte dafür, dass die srilankischen Behörden ihnen keinen Schutz gewährten. Den bei der Vorinstanz eingereichten Beweismitteln ist zu entnehmen, dass die zuständigen Behörden der hinsichtlich des Verschwindens ihres Ehemannes und Vaters erstatteten Anzeige nachgingen. Es lässt sich nicht schliessen, dass diese unwillig sind, den Fall zu klären. Zudem hat das BFM berechtigterweise darauf hingewiesen, dass die Beschwerdeführerinnen seit längerer Zeit keinen konkreten Übergriffen oder Drohungen mehr ausgesetzt wurden. Insofern die Beschwerdeführerin in der Beschwerde ausführt, vor einiger Zeit hätten Unbekannte versucht, sie zu entführen, ist einerseits festzustellen, dass sie dieses Ereignis bisher nicht erwähnte, anderseits, dass auch dieses zeitlich zurückliegt. Sollten die Beschwerdeführerin erneut von Kriminellen angegangen werden, die ihr oder ihrer Tochter gegenüber Drohungen aussprechen, steht es ihr offen, bei den srilankischen Sicherheitsbehörden Anzeige zu erstatten. Dies gilt ebenso für den Fall, dass sich srilankische Polizisten ihr gegenüber ungebührlich benehmen würden.</w:t>
      </w:r>
    </w:p>
    <w:p>
      <w:r>
        <w:rPr>
          <w:b/>
        </w:rPr>
        <w:t>E. 6.3</w:t>
      </w:r>
    </w:p>
    <w:p>
      <w:r>
        <w:t>Schliesslich ist festzustellen, dass die Beschwerdeführerin keine anderweitigen Probleme mit den heimatlichen Behörden hatte und keinerlei Anhaltspunkte dafür bestehen, sie habe in absehbarer Zukunft mit der Zufügung ernsthafter Nachteile durch die srilankischen Behörden zu rechnen.</w:t>
      </w:r>
    </w:p>
    <w:p>
      <w:r>
        <w:rPr>
          <w:b/>
        </w:rPr>
        <w:t>E. 6.4</w:t>
      </w:r>
    </w:p>
    <w:p>
      <w:r>
        <w:t>Zusammenfassend ist festzustellen, dass die Beschwerdeführerinnen nicht schutzbedürftig im Sinne von Art. 3 AsylG sind. Aufgrund der vorstehenden Erwägungen erübrigt es sich, auf die weiteren Ausführungen und die im vorinstanzlichen Verfahren eingereichten Beweismittel einzugehen, da sie am festgestellten Ergebnis nichts zu ändern vermögen.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an sich den Beschwerdeführerinnen aufzuerlegen (Art. 63 Abs. 1 VwVG); aus verwaltungsökonomischen Gründen ist indessen in Anwendung von Art. 6 des Reglements vom 21. Februar 2008 über die Kosten und Entschädigungen vor dem Bundesverwaltungsgericht (VGKE, SR 173.320.2)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