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D-4414/2011 vom 17. August 2012</w:t>
      </w:r>
    </w:p>
    <w:p>
      <w:r>
        <w:t>Bundesverwaltungsgericht, 2012-08-17, DE</w:t>
      </w:r>
    </w:p>
    <w:p>
      <w:r>
        <w:rPr>
          <w:b/>
        </w:rPr>
        <w:t xml:space="preserve">Quelle: </w:t>
      </w:r>
      <w:r>
        <w:t>https://mcp.opencaselaw.ch/entscheid/bvger_D-4414_2011</w:t>
      </w:r>
    </w:p>
    <w:p>
      <w:r>
        <w:t>FR: TAF D-4414/2011 du 17 août 2012</w:t>
      </w:r>
    </w:p>
    <w:p>
      <w:r>
        <w:t>IT: TAF D-4414/2011 del 17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und der Begründung ausschliesslich gegen den Vollzug der von der Vorinstanz verfügten Wegweisung. Die Verfügung des BFM vom 20. Juli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den formellen Rügen - lediglich die Frage, ob das Bundesamt den Vollzug der Wegweisung zu Recht als zulässig, zumutbar und möglich erklärt hat.</w:t>
      </w:r>
    </w:p>
    <w:p>
      <w:r>
        <w:rPr>
          <w:b/>
        </w:rPr>
        <w:t>E. 5.1</w:t>
      </w:r>
    </w:p>
    <w:p>
      <w:r>
        <w:t>Die Beschwerdeführenden machen in formeller Hinsicht geltend, dass die Vorinstanz die Begründungspflicht verletzt habe, indem sie es unterlassen habe, die relevanten Herkunftsländerinformationen, auf welche sie ihren Entscheid stütze, offenzulegen. Der gebotenen Begründungspflicht sei die Vorinstanz auch deshalb nicht in genügendem Masse nachgekommen, da sie in der angefochtenen Verfügung ohne Begründung von der langjährigen Praxis des Bundesverwaltungsgerichts abgewichen sei. Daher sei die angefochtene Verfügung in den Dispositionspunkten 4 und 5 infolge Verletzung des Grundsatzes des rechtlichen Gehörs aufzuheben und an die Vorinstanz zur Neubeurteilung zurückzuweisen.</w:t>
      </w:r>
    </w:p>
    <w:p>
      <w:r>
        <w:rPr>
          <w:b/>
        </w:rPr>
        <w:t>E. 5.2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w:t>
      </w:r>
    </w:p>
    <w:p>
      <w:r>
        <w:t>Soweit in der Beschwerde gerügt wird, die Vorinstanz habe die Begründungspflicht verletzt, indem sie es unterlassen habe, die relevanten Herkunftsländerinformationen, auf welche sie ihren Entscheid stütze, offenzulegen, ist Folgendes festzuhalten: Mit Ausnahme der UNHCR-Richtlinien zur Feststellung des internationalen Schutzbedarfs sri-lankischer Asylsuchender vom 5. Juli 2010 finden sich weder in der angefochtenen Verfügung noch in den übrigen vorinstanzlichen Akten explizit bezeichnete Länderberichte oder -informationen, in welche das BFM den Beschwerdeführenden hätte Einsicht gewähren können. Allgemeine Länderinformationen, welche der internen Erkenntnisbildung dienen, sind gemäss ständiger Rechtspraxis nicht Bestandteil des Akteneinsichtsrechts und folglich auch nicht offenzulegen. Entgegen der Behauptung in der Rechtsmittelschrift geht aus den Akten nicht hervor, dass die Vorinstanz den angefochtenen Entscheid auf Erkenntnisse gestützt hätte, die sie von ihrer Dienstreise im Herbst 2010 gewonnen hat, weswegen sie auch nicht verpflichtet gewesen wäre, diesbezügliche Unterlagen in der Verfügung zu erwähnen beziehungsweise den Beschwerdeführenden hierzu Akteneinsicht zu gewähren. An dieser Einschätzung ändert auch der Umstand nichts, dass das Bundesverwaltungsgericht den Beschwerdeführenden mit Verfügung vom 8. Mai 2012 den BFM-Bericht vom 22. Dezember 2011 betreffend eine Dienstreise nach Sri Lanka zur Stellungnahme zustellte. In Bezug auf die UNHCR-Richtlinien vom 5. Juli 2010 ist festzustellen, dass diese öffentlich zugänglich sind - so auch im Internet -, weswegen diesbezüglich keine Verletzung des Akteneinsichtsrechts beziehungsweise der Begründungspflicht vorliegt. Daran ändert auch die Tatsache nichts, dass in der angefochtenen Verfügung darauf verzichtet wurde, bezüglich dieses Dokumentes die relevanten Passagen anzugeben. Insgesamt liegt somit keine Verletzung des Akteneinsichtsrechts beziehungsweise der Begründungspflicht vor, da das BFM nicht gehalten war, die verwendeten allgemein zugänglichen Länderinformationen im beantragten Ausmass detailliert offenzulegen. Der gestellte Antrag, das BFM sei anzuweisen, sämtliche Herkunftsländerinformationen, auf welche es seinen Entscheid stützte, mittels Quellenangaben offenzulegen, ist daher abzuweisen.</w:t>
      </w:r>
    </w:p>
    <w:p>
      <w:r>
        <w:rPr>
          <w:b/>
        </w:rPr>
        <w:t>E. 5.5</w:t>
      </w:r>
    </w:p>
    <w:p>
      <w:r>
        <w:t>Bezüglich der Rüge in der Rechtsmittelschrift, wonach eine Verletzung der Begründungspflicht und des Anspruchs der Beschwerdeführenden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bewaffneten des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6.3.2 nachstehend). Inwiefern das BFM mit seinem Vorgehen die Begründungspflicht verletzt haben soll, ist in Anbetracht der insgesamt ausgewogenen und differenzierten Erwägungen in der angefochtenen Verfügung ohnehin nicht ersichtlich. Bei dieser Sachlage besteht somit keine Veranlassung, die angefochtene Verfügung aus formellen Gründen aufzuheben, weshalb das Begehren der Beschwerdeführenden, der Entscheid vom 20. Juli 2011 sei in den Dispositivpunkten 4 und 5 aufzuheben und zur Neubeurteilung der Sache an das BFM zurückzuweisen, abzuweisen ist.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Da rechtskräftig feststeht, dass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in ihr Heimatland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nicht gelungen. Die Beschwerdeführenden gehören keiner in Bezug auf die Flüchtlingseigenschaft relevanten Risikogruppe an, weshalb nicht davon auszugehen ist, ihnen drohe im Rahmen der routinemässigen Überprüfung bei der Rückkehr diesbezüglich eine unmenschliche Behandlung. An dieser Einschätzung vermögen auch die mit der Beschwerde eingereichten Bestätigungsschreiben nichts zu ändern, da erhebliche Zweifel an der Echtheit dieser Dokumente bestehen, zumal es gerichtsnotorisch ist, dass zahlreiche Asylbewerber unter Inanspruchnahme unlauterer Machenschaften behördliche und andere Dokumente zur Stützung ihrer Asylvorträge beibringen. Die allgemeine Menschenrechtssituation in Sri Lanka lässt den Wegweisungsvollzug zum heutigen Zeitpunkt ebenfalls nicht als unzulässig erscheinen (vgl. BVGE 2011/24 E. 10.4.2). An dieser Bewertung ändern auch die diesbezüglichen Vorbringen der Beschwerdeführenden in ihrer Stellungnahme vom 22. Mai 2012 sowie die dort zitierten Berichte nichts, weshalb es sich erübrigt, weiter darauf einzugehen.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abgeändert. Danach hat sich seit dem Ende des bewaffneten Konflikts zwischen der sri-lankischen Armee und den LTTE im Mai 2009 die allgemeine Lage in Sri Lanka erheblich verbessert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6.3.3</w:t>
      </w:r>
    </w:p>
    <w:p>
      <w:r>
        <w:t>Der Beschwerdeführende 1 stammt aus dem Distrikt Jaffna, wo er von Geburt bis 1994 und von 1998 bis 2005 zusammen mit seiner Familie wohnte. Zwischen 1994 und 1998 und von Februar 2009 bis zu seiner Ausreise im November 2009 hielt er sich in der Nähe der Stadt Vavuniya auf (BFM-Akten A 1/13 S. 1 f., A 10/18 S. 2 f.). Die Beschwerdeführende 2 stammt aus dem Vanni-Gebiet, wo sie bis zum Februar 2009 fast ausschliesslich wohnte. Von Februar 2009 bis zur ihrer Ausreise im November 2009 hielt sie sich in der Nähe der Stadt Vavuniya auf (A 2/13 S. 1 f., A 11/16 S. 2). Anlässlich der Befragungen gab der Beschwerdeführende 1 zu Protokoll, seine Eltern, drei seiner Brüder sowie seine Schwester hätten vor 2006 in N._______ (Distrikt Jaffna) gelebt. Seither habe er keinen Kontakt mehr mit ihnen gehabt, weshalb er nicht wisse, wo sie sich aufhielten. Mit der Vorinstanz ist davon auszugehen, dass die Behauptung des Beschwerdeführenden 1, er habe keinen Kontakt mehr mit seinen Eltern und Geschwistern, als unglaubhaft zu werten ist, zumal er schon unglaubhafte Aussagen zu seinen Fluchtgründen geltend machte. Er belegt sodann in keiner Weise, inwiefern er sich um eine Kontaktaufnahme mit seinen Verwandten in Jaffna bemüht hätte, weshalb die Annahme berechtigt ist, er stehe mit seinen Eltern und Geschwistern nach wie vor in Kontakt. Aus den Akten ergeben sich zudem keine Hinweise darauf, dass sich Letztere nicht mehr im Distrikt Jaffna aufhalten, weshalb davon auszugehen ist, dass sie nach wie vor dort wohnen. Im Weiteren ist darauf hinzuweisen, dass die Mutter, zwei Tanten und ein Onkel der Beschwerdeführenden 2 im Distrikt Vavuniya leben. In Erwägung zu ziehen ist ausserdem, dass die jungen Beschwerdeführenden 1 und 2 über eine gute Schulbildung verfügen sowie berufliche Erfahrungen als (...) und als (...) erwerben konnten. Es erweist sich somit, dass die - gemäss den Akten - gesunden Beschwerdeführenden die vom Bundesverwaltungsgericht in der Lagebeurteilung vom 27. Oktober 2011 bezüglich der Zumutbarkeit des Wegweisungsvollzugs nach Sri Lanka formulierten Kriterien erfüllen. Sie werden nach der Rückkehr in ihr Heimatland auf die Unterstützung ihrer in den Distrikten Jaffna und Vavuniya lebenden Angehörigen zählen können und bei ihnen eine Unterkunftsmöglichkeit vorfinden. Zudem werden die Beschwerdeführenden 1 und 2 in Zukunft in der Lage sein, sich dank ihrer guten Schulbildung und ihren beruflichen Kenntnisse wieder wirtschaftlich zu integrieren. Bei der Reintegration werden die Beschwerdeführenden zudem im Bedarfsfall auf die (finanzielle) Unterstützung der zwei in Kanada lebenden Onkel der Beschwerdeführenden 2 zählen dürfen, da sie von diesen schon bei der Ausreise unterstützt wurden. Zur Überbrückung allfälliger Anfangsschwierigkeiten können die Beschwerdeführenden überdies beim BFM Rückkehrhilfe beantragen. Insbesondere genügen blosse soziale und wirtschaftliche Schwierigkeiten, von denen die ansässige Bevölkerung im Allgemeinen betroffen ist, nicht, um eine konkrete Gefährdung im Sinne von Art. 83 Abs. 4 AuG darzustellen (vgl. BVGE 2008/34 E. 11.2.2). Entgegen den Vorbringen der Beschwerdeführenden in der Rechtsmittelschrift sowie der Stellungnahme vom 22. Mai 2012 ist somit nicht anzunehmen, dass sie bei einer Rückkehr in ihren Heimatstaat in eine existenzielle Notlage geraten werden. Der Vollzug der Wegweisung erweist sich damit sowohl in genereller als auch in individueller Hinsicht als zumutbar.</w:t>
      </w:r>
    </w:p>
    <w:p>
      <w:r>
        <w:rPr>
          <w:b/>
        </w:rPr>
        <w:t>E. 6.4</w:t>
      </w:r>
    </w:p>
    <w:p>
      <w:r>
        <w:t>Schliesslich obliegt es den Beschwerdeführenden, sich bei der zuständigen Vertretung des Heimatstaates die für eine Rückkehr notwendigen Reisedokumente zu beschaffen (vgl. Art. 8 Abs. 4 AsylG),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Dem Ausgang des Verfahrens entsprechend wären die Kosten den mit ihren Begehren unterlegenen Beschwerdeführenden zu überbinden (Art. 63 Abs. 1 VwVG). Diese haben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Den Beschwerdeführenden kann nicht vorgehalten werden, ihrer Beschwerde habe es im Zeitpunkt der Beantragung der unentgeltlichen Rechtspflege mit Blick auf die Erfolgsaussichten an der nötigen Ernsthaftigkeit gefehlt (vgl. BGE 125 II 265 E. 4b S. 275). Zudem wird ihre prozessuale Bedürftigkeit durch die eingereichte Fürsorgebestätigung vom 9. August 2011 hinreichend belegt.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