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D-440/2023 vom 7. Februar 2023</w:t>
      </w:r>
    </w:p>
    <w:p>
      <w:r>
        <w:t>Bundesverwaltungsgericht, 2023-02-07, FR</w:t>
      </w:r>
    </w:p>
    <w:p>
      <w:r>
        <w:rPr>
          <w:b/>
        </w:rPr>
        <w:t xml:space="preserve">Quelle: </w:t>
      </w:r>
      <w:r>
        <w:t>https://mcp.opencaselaw.ch/entscheid/bvger_D-440_2023</w:t>
      </w:r>
    </w:p>
    <w:p>
      <w:r>
        <w:t>FR: TAF D-440/2023 du 7 février 2023</w:t>
      </w:r>
    </w:p>
    <w:p>
      <w:r>
        <w:t>IT: TAF D-440/2023 del 7 febbraio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 agissant en son nom et pour son propre compte, a qualité pour recourir (art. 48 al. 1 de la loi fédérale du 20 décembre 1968 sur la procédure administrative [PA, RS 172.021], applicable par renvoi de l'art. 37 LTAF). Interjeté dans la forme et dans le délai prescrits par la loi (art. 52 al. 1 PA et art. 108 al. 3 LAsi),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En l'occurrence,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(cf. ATAF 2017 VI/5 consid. 6.2 et 8.2.1 et réf. cit.).</w:t>
      </w:r>
    </w:p>
    <w:p>
      <w:r>
        <w:rPr>
          <w:b/>
        </w:rPr>
        <w:t>E. 4.1</w:t>
      </w:r>
    </w:p>
    <w:p>
      <w:r>
        <w:t>Dans le cas sous revue, les investigations entreprises par le SEM ont permis d'établir, après consultation de l'unité centrale du système européen « Eurodac », que A._______ avait déposé une demande d'asile en Croatie le 17 novembre 2022.</w:t>
      </w:r>
    </w:p>
    <w:p>
      <w:r>
        <w:rPr>
          <w:b/>
        </w:rPr>
        <w:t>E. 4.2</w:t>
      </w:r>
    </w:p>
    <w:p>
      <w:r>
        <w:t>En date du 8 décembre suivant, le SEM a dès lors soumis aux autorités croates compétentes, dans le délai fixé à l'art. 23 par. 2 RD III, une requête aux fins de reprise en charge du prénommé, fondée sur l'art. 18 par. 1 let. b de ce même règlement.</w:t>
      </w:r>
    </w:p>
    <w:p>
      <w:r>
        <w:rPr>
          <w:b/>
        </w:rPr>
        <w:t>E. 4.3</w:t>
      </w:r>
    </w:p>
    <w:p>
      <w:r>
        <w:t>Le 22 décembre 2022, soit dans le délai institué par l'art. 25 par. 1 RD III, lesdites autorités ont expressément accepté de reprendre en charge l'intéressé, sur la base de l'art. 20 par. 5 RD III.</w:t>
      </w:r>
    </w:p>
    <w:p>
      <w:r>
        <w:rPr>
          <w:b/>
        </w:rPr>
        <w:t>E. 4.3.1</w:t>
      </w:r>
    </w:p>
    <w:p>
      <w:r>
        <w:t>En vertu de cet article, l'Etat membre auprès duquel la demande de protection internationale a été introduite pour la première fois est tenu, sous réserve des conditions prévues aux art. 23, 24, 25 et 29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délivré par un autre Etat membre.</w:t>
      </w:r>
    </w:p>
    <w:p>
      <w:r>
        <w:rPr>
          <w:b/>
        </w:rPr>
        <w:t>E. 4.3.2</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 norme précitée,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[ci-après : CJUE] C-582/17 et C-583/17 du 2 avril 2019, points 48 à 50).</w:t>
      </w:r>
    </w:p>
    <w:p>
      <w:r>
        <w:rPr>
          <w:b/>
        </w:rPr>
        <w:t>E. 4.3.3</w:t>
      </w:r>
    </w:p>
    <w:p>
      <w:r>
        <w:t>En l'espèce, lorsqu'elles ont accepté la requête de reprise en charge formulée par le SEM, les autorités croates ont exposé que l'intéressé avait manifesté son intention de demander l'asile en Croatie le 17 novembre 2022, mais qu'il avait depuis lors disparu, avant d'avoir pu être entendu (cf. communication de la Croatie du 22 décembre 2022, p. 1, pièce no 18/2 de l'e-dossier). Il ressort ainsi de ladite communication que les autorités précitées reconnaissent expressément le dépôt par le requérant d'une demande de protection dans leur pays, ce que corroborent également les informations ressortant de la base de données « Eurodac » ainsi que les déclarations de l'intéressé dans le cadre de l'entretien individuel Dublin (cf. procès-verbal de l'audition du 8 décembre 2022, p. 1 s., pièce no 14/2 de l'e-dossier). Dans ces conditions, et dès lors que le dossier n'atteste en rien que A._______ aurait quitté le territoire des Etats membres de l'Espace Dublin, ou qu'il aurait obtenu un titre de séjour délivré par l'un de ces Etats dans l'intervalle, l'art. 20 par. 5 RD III a bien vocation à s'appliquer dans le cas particulier, conformément à la jurisprudence topique précitée (cf. supra consid. 4.3.2 in fine).</w:t>
      </w:r>
    </w:p>
    <w:p>
      <w:r>
        <w:rPr>
          <w:b/>
        </w:rPr>
        <w:t>E. 4.3.4</w:t>
      </w:r>
    </w:p>
    <w:p>
      <w:r>
        <w:t>Cette conclusion s'impose d'autant que la Croatie a reconnu expressis verbis sa compétence pour achever le processus de détermination de l'Etat membre responsable de l'examen de la demande d'asile déposée par l'intéressé, ce qui n'est d'ailleurs pas contesté (cf. communication de la Croatie du 22 décembre 2022, p. 1, pièce no 18/2 de l'e-dossier, en lien avec l'acte de recours, p. 1 s.).</w:t>
      </w:r>
    </w:p>
    <w:p>
      <w:r>
        <w:rPr>
          <w:b/>
        </w:rPr>
        <w:t>E. 5.1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5.5</w:t>
      </w:r>
    </w:p>
    <w:p>
      <w:r>
        <w:t>Nonobstant des prises de position critiques de divers organismes (notamment le Conseil de l'Europe), le Tribunal considère que le système d'asile et d'accueil croate ne présente pas de défaillances systémiques, respectivement de risques avérés de push-backs à la frontière, s'agissant des requérants qui ont déjà déposé une demande de protection internationale en Croatie et qui sont explicitement repris en charge par cet Etat dans le cadre d'une procédure Dublin (cf. arrêts du Tribunal F-4079/2022 du 23 septembre 2022 consid. 5.5, E-2755/2022 du 8 septembre 2022 consid. 5.2.3 et réf. cit. ; E-1854/2022 du 1er septembre 2022 consid. 6.4 et réf. cit. ; D-3316/2022 du 29 août 2022 ; E-3554/2022 du 25 août 2022 consid. 6.2 et réf. cit.).</w:t>
      </w:r>
    </w:p>
    <w:p>
      <w:r>
        <w:rPr>
          <w:b/>
        </w:rPr>
        <w:t>E. 5.6</w:t>
      </w:r>
    </w:p>
    <w:p>
      <w:r>
        <w:t>A défaut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6.1</w:t>
      </w:r>
    </w:p>
    <w:p>
      <w:r>
        <w:t>Pour s'opposer à son transfert, l'intéressé a fait valoir au stade de la procédure devant l'autorité de première instance qu'il avait été victime de mauvais traitements de la part de policiers croates, qui l'auraient battu et qui lui auraient confisqué « toutes ses affaires, dont [son] argent, [son] téléphone et [ses] vêtements » lors de sa quatrième tentative - sur un total de sept - pour passer de Bosnie en Croatie. Il a également indiqué qu'après être parvenu à entrer dans ce pays, il avait été enfermé au poste de police dans une cellule durant six heures, qu'il avait dû signer des documents dont il ne comprenait pas le contenu, puis qu'il avait été transféré en fourgon dans un foyer, où il avait été contraint de « donner ses empreintes digitales » (cf. procès-verbal de l'audition du 8 décembre 2022, p. 1 s., pièce no 14/2 de l'e-dossier). A teneur de son recours, il a allégué en substance qu'il ne souhaitait pas être renvoyé en Croatie en raison des violences subies de la part des policiers et a réitéré qu'il avait été traité de manière inhumaine dans ce pays, et qu'il y avait été victime de push-backs. Il a également relevé aux termes de cette écriture que ses droits n'avaient pas été respectés, qu'il avait dû signer des documents sans les comprendre et sans pouvoir en obtenir la traduction et qu'il avait été traumatisé. Enfin, le recourant a allégué nécessiter un suivi psychologique - prise en charge qu'il a dit ne pas avoir pu obtenir à ce stade, malgré ses demandes au SEM (cf. acte de recours, p. 2).</w:t>
      </w:r>
    </w:p>
    <w:p>
      <w:r>
        <w:rPr>
          <w:b/>
        </w:rPr>
        <w:t>E. 6.2</w:t>
      </w:r>
    </w:p>
    <w:p>
      <w:r>
        <w:t>A teneur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7.1</w:t>
      </w:r>
    </w:p>
    <w:p>
      <w:r>
        <w:t>En l'occurrence, l'intéressé n'est pas parvenu à démontrer à satisfaction de droit qu'il conviendrait de renoncer à son transfert en Croatie en application de la lettre de l'art. 17 par. 1 RD III.</w:t>
      </w:r>
    </w:p>
    <w:p>
      <w:r>
        <w:rPr>
          <w:b/>
        </w:rPr>
        <w:t>E. 7.2</w:t>
      </w:r>
    </w:p>
    <w:p>
      <w:r>
        <w:t>A ce titre, ses allégations en lien avec les mauvais traitements qu'il aurait endurés en Croatie, outre le fait qu'elles doivent être qualifiées globalement de vagues, stéréotypées et dépourvues pour l'essentiel d'indices de vécu, ne sont corroborées par aucun moyen de preuve objectif correspondant.</w:t>
      </w:r>
    </w:p>
    <w:p>
      <w:r>
        <w:rPr>
          <w:b/>
        </w:rPr>
        <w:t>E. 7.3</w:t>
      </w:r>
    </w:p>
    <w:p>
      <w:r>
        <w:t>Dans ces circonstances, lesdites allégations s'avèrent sujette à caution et ne satisfont pas aux exigences de vraisemblance de l'art. 7 LAsi, de sorte qu'elles s'avèrent impropres à établir une quelconque violation par la Suisse de dispositions contraignantes du droit international public, en particulier de l'art. 3 CEDH ou de l'art. 3 Conv. torture, dans l'optique d'un possible transfert en Croatie. En outre et surtout, elles ne sont pas décisives quant à la conformité du transfert de l'intéressé au regard de ces dispositions. En effet, il n'y a pas de raison concrète et sérieuse d'admettre que son transfert à Zagreb (cf. communication de la Croatie du 22 décembre 2022, p. 1 s., pièce no 18/2 de l'e-dossier) risque de l'exposer à une situation similaire à celle qu'il prétend avoir connue à la frontière après son interpellation en tant que personne étrangère en situation irrégulière, jusqu'à la prise de ses empreintes digitales et à l'enregistrement de sa demande d'asile.</w:t>
      </w:r>
    </w:p>
    <w:p>
      <w:r>
        <w:rPr>
          <w:b/>
        </w:rPr>
        <w:t>E. 7.4.1</w:t>
      </w:r>
    </w:p>
    <w:p>
      <w:r>
        <w:t>Relativement à la situation médicale du recourant, le Tribunal rappelle que le retour forcé d'une personne touchée dans sa santé n'est, selon la jurisprudence de la Cour européenne des droits de l'homme (ci-après : CourEDH), susceptible de constituer une violation de l'art. 3 CEDH que lorsqu'il y a des motifs sérieux d'admettre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une réduction significative de son espérance de vie (cf. arrêt de la CourEDH Paposhvili c. Belgique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w:t>
      </w:r>
    </w:p>
    <w:p>
      <w:r>
        <w:rPr>
          <w:b/>
        </w:rPr>
        <w:t>E. 7.4.2</w:t>
      </w:r>
    </w:p>
    <w:p>
      <w:r>
        <w:t>In casu, la situation médicale de l'intéressé, telle qu'elle ressort des pièces du dossier (cf. procès-verbal de l'audition du 8 décembre 2022, p. 2, pièce no 14/2 de l'e-dossier [voir également supra let. C des consid. en fait] ; formulaire F2 du 23 janvier 2023, p. 1 s., pièce no 23/2 de l'e-dossier), bien qu'elle ne saurait être minorée, n'atteint pas le seuil de gravité élevé retenu par la jurisprudence stricte sus-rappelée. Eu égard aux troubles (anorexie, neurasthénie, apathie, insomnie, idéation suicidaire avec risque de passage à l'acte verbalisé) dont l'intéressé a prétendu qu'ils étaient apparus dans le prolongement de la notification de la décision entreprise - troubles diagnostiqués principalement en tant que « PTSD » (cf. formulaire F2 du 23 janvier 2023, p. 1, pièce no 23/2 de l'e-dossier) -, ils ne s'avèrent, eux non plus, pas décisifs dans la perspective d'un transfert vers l'Etat Dublin compétent, en l'occurrence, la Croatie. En effet, selon la pratique du Tribunal, même en cas de tendances suicidaires (« suicidalité »), celles-ci ne sauraient faire obstacle, en soi, à une mesure de renvoi ou de transfert, seule une mise en danger présentant des formes concrètes devant être prise en considération. Aussi, si des menaces auto-agressives devaient apparaître au moment de l'organisation du départ de Suisse, il appartiendrait aux autorités chargées de l'exécution du transfert de prévoir des mesures concrètes pour en prévenir la réalisation (cf. arrêt du Tribunal E-5887/2022 du 13 janvier 2023 consid. 6.3.5.4).</w:t>
      </w:r>
    </w:p>
    <w:p>
      <w:r>
        <w:rPr>
          <w:b/>
        </w:rPr>
        <w:t>E. 7.4.3</w:t>
      </w:r>
    </w:p>
    <w:p>
      <w:r>
        <w:t>De surcroît, il est rappelé que la Croatie est liée par la directive Accueil et qu'elle dispose de structures médicales adéquates (cf. arrêts du Tribunal précités E-2755/2022 consid. 6.4 et E-1854/2022 consid. 7.4.2, ainsi que les réf. cit.). Cet Etat doit donc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7.4.4</w:t>
      </w:r>
    </w:p>
    <w:p>
      <w:r>
        <w:t>Dans ces conditions, l'état de santé du recourant ne constitue pas un obstacle dirimant à la mise en oeuvre de son transfert en Croatie, où il pourra, si nécessaire, être pris en charge de façon appropriée. Dans le contexte sus exposé, les seules déclarations de l'intéressé devant le SEM, en lien avec ses problèmes psychiques et la nécessité alléguée qu'il consulte un psychologue (cf. procès-verbal de l'audition du 8 décembre 2022, p. 2, pièce no 14/2 de l'e-dossier) ne permettaient pas, en l'absence d'élément objectif apte à étayer la prévalence de troubles d'une certaine importance, de fonder un quelconque devoir d'instruction complémentaire de l'autorité inférieure en la matière (art. 12 PA), à défaut de quoi les garanties de procédures formelles dont peut se prévaloir l'intéressé (déductibles notamment de l'art. 29 al. 2 Cst.) auraient été violées.</w:t>
      </w:r>
    </w:p>
    <w:p>
      <w:r>
        <w:rPr>
          <w:b/>
        </w:rPr>
        <w:t>E. 7.5</w:t>
      </w:r>
    </w:p>
    <w:p>
      <w:r>
        <w:t>Par ailleurs, A._______ n'est pas parvenu à démontrer au cours de la procédure que ses conditions de vie en Croatie revêtiraient un tel degré de pénibilité et de gravité qu'elles seraient constitutives d'un traitement contraire à l'art. 3 CEDH ou encore à l'art. 3 Conv. torture. Il n'a pas non plus été en mesure d'apporter des indices concrets, objectifs et sérieux, qu'il aurait lui-même été privé durablement de tout accès aux conditions matérielles minimales d'accueil prévues par la directive Accueil, ni non plus qu'il ne pourrait pas bénéficier de l'aide éventuellement requise pour faire valoir ses droits dans ce pays.</w:t>
      </w:r>
    </w:p>
    <w:p>
      <w:r>
        <w:rPr>
          <w:b/>
        </w:rPr>
        <w:t>E. 7.6</w:t>
      </w:r>
    </w:p>
    <w:p>
      <w:r>
        <w:t>En tout état de cause, si après son transfert,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le cas échéant, de s'adresser aux autorités locales, en usant des voies de droit idoines (art. 26 directive Accueil).</w:t>
      </w:r>
    </w:p>
    <w:p>
      <w:r>
        <w:rPr>
          <w:b/>
        </w:rPr>
        <w:t>E. 7.7</w:t>
      </w:r>
    </w:p>
    <w:p>
      <w:r>
        <w:t>Il convient encore de relever à ce stade que le RD III ne confère pas aux demandeurs d'asile le droit de choisir l'Etat membre offrant, à leur avis, les meilleures conditions d'accueil comme Etat responsable de l'examen de leur demande d'asile (cf. ATAF 2017 VI/7 consid. 6.11 ; 2017 VI/5 consid. 8.2.1). Aussi, le souhait exprimé par le recourant de demeurer en Suisse ne s'avère pas déterminant en la cause.</w:t>
      </w:r>
    </w:p>
    <w:p>
      <w:r>
        <w:rPr>
          <w:b/>
        </w:rPr>
        <w:t>E. 7.8</w:t>
      </w:r>
    </w:p>
    <w:p>
      <w:r>
        <w:t>Ce faisant, le Tribunal conclut que c'est à juste titre que l'autorité inférieure n'a pas fait application de l'art. 17 par. 1 RD III, en lien avec les dispositions conventionnelles précitées.</w:t>
      </w:r>
    </w:p>
    <w:p>
      <w:r>
        <w:rPr>
          <w:b/>
        </w:rPr>
        <w:t>E. 7.9</w:t>
      </w:r>
    </w:p>
    <w:p>
      <w:r>
        <w:t>Pour le surplus, le SEM a établi l'état de fait pertinent de manière exacte et complète et n'a commis ni excès ni abus de son large pouvoir d'appréciation en refusant d'admettre, dans le cas particulier (cf. décision querellée, p. 7), l'existence de raisons humanitaires au sens de l'art. 29a al. 3 OA 1, en combinaison avec l'art. 17 par. 1 RD III, étant rappelé qu'en la matière, le Tribunal n'est pas habilité à substituer sa propre appréciation à celle de l'autorité intimée (cf. ATAF 2015/9 consid. 8).</w:t>
      </w:r>
    </w:p>
    <w:p>
      <w:r>
        <w:rPr>
          <w:b/>
        </w:rPr>
        <w:t>E. 7.10</w:t>
      </w:r>
    </w:p>
    <w:p>
      <w:r>
        <w:t>En conclusion, le SEM a considéré à bon droit qu'il n'y avait pas lieu, in casu, de faire application de la clause de souveraineté ancrée à l'art. 17 par. 1 RD III, que ce soit pour des raisons tirées du respect par la Suisse de ses obligations internationales ou pour des motifs humanitaires.</w:t>
      </w:r>
    </w:p>
    <w:p>
      <w:r>
        <w:rPr>
          <w:b/>
        </w:rPr>
        <w:t>E. 8</w:t>
      </w:r>
    </w:p>
    <w:p>
      <w:r>
        <w:t>Au vu de ce qui précède, c'est à juste titre que l'autorité inférieure n'est pas entrée en matière sur la demande d'asile de l'intéressé, conformément à l'art. 31a al. 1 let. b LAsi, et qu'elle a prononcé son transfert de la Suisse vers la Croatie, en application de l'art. 44 LAsi, aucune exception à la règle générale du renvoi n'étant réalisée (art. 32 OA 1).</w:t>
      </w:r>
    </w:p>
    <w:p>
      <w:r>
        <w:rPr>
          <w:b/>
        </w:rPr>
        <w:t>E. 9.1</w:t>
      </w:r>
    </w:p>
    <w:p>
      <w:r>
        <w:t>Il s'ensuit que, mal fondé sur tous les points, le recours formé le 25 janvier 2022 (date du timbre postal) doit être rejeté.</w:t>
      </w:r>
    </w:p>
    <w:p>
      <w:r>
        <w:rPr>
          <w:b/>
        </w:rPr>
        <w:t>E. 9.2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9.3</w:t>
      </w:r>
    </w:p>
    <w:p>
      <w:r>
        <w:t>Dans la mesure où il est immédiatement statué sur le fond, les requêtes tendant au prononcé de mesures superprovisionnelles (art. 56 PA), à l'octroi de l'effet suspensif au recours (art. 107a al. 2 LAsi) et à l'exemption du versement d'une avance de frais (art. 63 al. 4 in fine PA) sont sans objet.</w:t>
      </w:r>
    </w:p>
    <w:p>
      <w:r>
        <w:rPr>
          <w:b/>
        </w:rPr>
        <w:t>E. 9.4</w:t>
      </w:r>
    </w:p>
    <w:p>
      <w:r>
        <w:t>Attendu que les conclusions du recours étaient d'emblée vouées à l'échec, la requête d'assistance judiciaire totale doit être rejetée elle aussi, l'une au moins des conditions cumulatives de l'art. 65 al. 1 PA (en lien avec l'art. 102m al. 1 let. a LAsi) n'étant en l'occurrence pas satisfaite.</w:t>
      </w:r>
    </w:p>
    <w:p>
      <w:r>
        <w:rPr>
          <w:b/>
        </w:rPr>
        <w:t>E. 9.5</w:t>
      </w:r>
    </w:p>
    <w:p>
      <w:r>
        <w:t>Etant donné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