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D-440/2007 vom 24. Juni 2010</w:t>
      </w:r>
    </w:p>
    <w:p>
      <w:r>
        <w:t>Bundesverwaltungsgericht, 2010-06-24, DE</w:t>
      </w:r>
    </w:p>
    <w:p>
      <w:r>
        <w:rPr>
          <w:b/>
        </w:rPr>
        <w:t xml:space="preserve">Quelle: </w:t>
      </w:r>
      <w:r>
        <w:t>https://mcp.opencaselaw.ch/entscheid/bvger_D-440_2007</w:t>
      </w:r>
    </w:p>
    <w:p>
      <w:r>
        <w:t>FR: TAF D-440/2007 du 24 juin 2010</w:t>
      </w:r>
    </w:p>
    <w:p>
      <w:r>
        <w:t>IT: TAF D-440/2007 del 24 giugno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Art. 50 und 52 VwVG). Auf die Beschwerde ist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Das BFM hat den angefochtenen Nichteintretensentscheid auf der Grundlage von Art. 32 Abs. 2 Bst. a AsylG getroffen. Bei Beschwerden gegen solche Nichteintretensentscheide ist die Beurteilungskompetenz der Beschwerdeinstanz grundsätzlich auf die Frage beschränkt, ob die Vorinstanz zu Recht auf das Asylgesuch nicht eingetreten ist, wogegen die Vorinstanz die Frage der Wegweisung und des Vollzugs materiell prüft, weshalb dem Bundesverwaltungsgericht diesbezüglich volle Kognition zukommt. Bei Begründetheit der Beschwerde ist die angefochtene Verfügung aufzuheben und die Sache zu neuer Entscheidung an die Vorinstanz zurückzuweisen ist (vgl. Entscheidungen und Mitteilungen der Schweizerischen Asylrekurskommission [EMARK] 2004 Nr. 34 E. 2.1 S. 240 f.). Indessen ist im Falle des Nichteintretens auf ein Asylgesuch gestützt auf Art. 32 Abs. 2 Bst. a und Abs. 3 AsylG über das Nichtbestehen der Flüchtlingseigenschaft abschliessend materiell zu entscheiden, soweit dies im Rahmen einer summarischen Prüfung möglich ist (vgl. BVGE 2007/8 insb. E. 5.6.5 S. 90 f.). In einem entsprechenden Beschwerdeverfahren bildet dementsprechend - ungeachtet der vorzunehmenden Überprüfung eines formellen Nichteintretensentscheides - auch die Flüchtlingseigenschaft Prozessgegenstand (vgl. BVGE 2007/8 E. 2.1 S. 73).</w:t>
      </w:r>
    </w:p>
    <w:p>
      <w:r>
        <w:rPr>
          <w:b/>
        </w:rPr>
        <w:t>E. 5.1</w:t>
      </w:r>
    </w:p>
    <w:p>
      <w:r>
        <w:t>Auf ein Asylgesuch wird nicht eingetreten, wenn Asylsuchende den Behörden nicht innerhalb von 48 Stunden nach Einreichung des Gesuchs Reise- oder Identitätspapiere abgeben (Art. 32 Abs. 2 Bst. a AsylG). Diese Bestimmung findet jedoch keine Anwendung, wenn Asylsuchende glaubhaft machen können, sie seien dazu aus entschuldbaren Gründen nicht in der Lage (Art. 32 Abs. 3 Bst. a AsylG), aufgrund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w:t>
      </w:r>
    </w:p>
    <w:p>
      <w:r>
        <w:rPr>
          <w:b/>
        </w:rPr>
        <w:t>E. 5.2.1</w:t>
      </w:r>
    </w:p>
    <w:p>
      <w:r>
        <w:t>Vorliegend ist die Nichtabgabe von Reise- oder Identitätspapieren im Sinne von Art. 32 Abs. 2 Bst. a und Abs. 3 Bst. a AsylG innerhalb von 48 Stunden nach Einreichung des Asylgesuches sachverhaltsmässig erstellt. Der Beschwerdeführer unterliess es, im Moment der Einreichung seines Asylgesuches beziehungsweise in den 48 Stunden nach der diesbezüglichen Aufklärung durch Vorhalt eines Informationsblattes ein Dokument zu seiner zweifelsfreien Identifizierung (vgl. BVGE 2007/7 E. 5.1-5.2 S. 65 ff.) abzugeben. Auch das Einreichen eines Geburtsregisterauszugs - sei es in Kopie oder im Original - ändert nichts daran, handelt es sich bei diesem Dokument doch gerade nicht um ein solches im Sinne der eben zitierten Rechtsprechung. Damit ist die in Art. 32 Abs. 2 Bst. a AsylG statuierte Grundvoraussetzung für ein Nichteintreten wegen fehlender Papiere vorliegend erfüllt.</w:t>
      </w:r>
    </w:p>
    <w:p>
      <w:r>
        <w:rPr>
          <w:b/>
        </w:rPr>
        <w:t>E. 5.2.2</w:t>
      </w:r>
    </w:p>
    <w:p>
      <w:r>
        <w:t>Sodann vermag der Beschwerdeführer keine entschuldbaren Gründe für die Nichtabgabe eines beweistauglichen Identitätsdokuments (Art. 32 Abs. 3 Bst. a AsylG; vgl. BVGE 2007/8 E. 3.2), innerhalb der Frist von 48 Stunden nach Einreichen des Asylgesuchs glaubhaft zu machen. Anlässlich der Befragung im EVZ erklärte der Beschwerdeführer, nie einen Pass besessen zu haben und der Agent, der ihn zunächst mit dem Flugzeug habe mitnehmen wollen und viele Pässe bei sich gehabt habe (namentlich einen mit einer Foto, welches ihm ähnlich sah), habe ihm die Identitätskarte abgenommen. Schlussendlich - am 10. oder 15. Oktober 2006 - sei er mit dem Schiff und ohne Pass von Negombo bis zu einem ihm unbekannten Land gelangt und von dort mit einem Auto bis in die Schweiz, wobei er nicht wisse, wie er die Grenze überquert habe. Auf der Reise habe er keine Identitätspapiere bei sich gehabt (vgl. A1 S. 3 f. sowie S. 6). Aus den diesbezüglichen Schilderungen des Beschwerdeführers geht zunächst hervor, dass ihm die Wichtigkeit des Vorlegens von Ausweispapieren im Ziel- beziehungsweise Asylland bewusst war respektive sein musste (vgl. das zur Publikation bestimmte Urteil des Bundesverwaltungsgerichts D-6069/2008 vom 3. Februar 2010 E. 6.2). Bereits unter diesem Blickwinkel betrachtet erweist sich die nicht weiter substanziierte Aussage des Beschwerdeführers, die Identitätskarte habe ihm der Agent "abgenommen", als eine nicht überzeugende Behauptung. Ferner ist aufgrund der oberflächlichen und realitätsfremden Schilderungen zur rund eineinhalb Monate dauernden, angeblich mit einem gefälschten Reisepass bewerkstelligten Reise davon auszugehen, dass er die wahren Umstände seines Reiseweges zu verschleiern versucht. Mithin vermag der Beschwerdeführer entschuldbare Gründe für die Nichtabgabe von rechtsgenüglichen Identitätspapieren nicht glaubhaft zu machen.</w:t>
      </w:r>
    </w:p>
    <w:p>
      <w:r>
        <w:rPr>
          <w:b/>
        </w:rPr>
        <w:t>E. 5.3</w:t>
      </w:r>
    </w:p>
    <w:p>
      <w:r>
        <w:t>Die auf Beschwerdestufe nachgereichte und dreieinhalb Monate nach der Asylgesuchstellung ausgestellte Identitätskarte (Ausstellungsdatum: 15. März 2007) ändert nichts an dieser Beurteilung.</w:t>
      </w:r>
    </w:p>
    <w:p>
      <w:r>
        <w:rPr>
          <w:b/>
        </w:rPr>
        <w:t>E. 5.3.1</w:t>
      </w:r>
    </w:p>
    <w:p>
      <w:r>
        <w:t>Zwar verletzt eine asylsuchende Person keine ihr von Gesetzes wegen obliegende Mitwirkungspflicht, wenn sie ihre Reise- oder Identitätspapiere im Heimat- oder Herkunftsstaat oder in einem Drittstaat zurücklässt, da ihr die spezifischen Mitwirkungspflichten im Asylverfahren - auf die sie bei der Einreichung des Gesuchs hinzuweisen ist (Art. 19 Abs. 3 AsylG) - als solche erst im Zeitpunkt erwachsen, in dem sie tatsächlich ein Asylgesuch einreicht. Für den Umstand, dass die asylsuchende Person ihre Reise- oder Identitätspapiere zurückgelassen hat, können verschiedene Gründe vorliegen. Es ist insbesondere möglich, dass sie ihre Reise- oder Identitätspapiere gerade in jener vom Gesetz verpönten Absicht zurückgelassen hat, eine allfällige Rückführung zu erschweren und damit den Aufenthalt in der Schweiz unrechtmässig zu verlängern. Die asylsuchende Person ist gemäss Art. 8 Abs. 1 Bst. d AsylG jedoch in jedem Fall verpflichtet, ihre Reise- und Identitätspapiere innert angemessener Frist zu beschaffen, soweit dies zumutbar und mithin möglich ist. Gelingt es der asylsuchenden Person nicht, glaubhaft zu machen, dass sie ihre Reise- oder Identitätspapiere aus zwingenden Gründen zurücklassen musste beziehungsweise nicht mitnehmen konnte, und kommt sie ihrer Verpflichtung nicht nach, diese nachträglich zu beschaffen, kann aufgrund ihres untätigen Verhaltens geschlossen werden, dass sie ihre Reise- oder Identitätspapiere in der Absicht zurückgelassen hat, eine allfällige Rückführung zu erschweren und damit den Aufenthalt in der Schweiz unrechtmässig zu verlängern. Kommt sie hingegen ihrer Mitwirkungspflicht nach, indem sie sich - soweit zumutbar - umgehend und ernsthaft darum bemüht, ihre Reise- oder Identitätspapiere innert angemessener Frist zu beschaffen, ist anzunehmen, ihrem Unvermögen, Reise- oder Identitätspapiere einzureichen, liege im Sinne von Art. 7 Abs. 2 AsylG mit überwiegender Wahrscheinlichkeit nicht die Absicht zugrunde, den Aufenthalt in der Schweiz unrechtmässig zu verlängern. Dies entspricht denn auch der Art. 32 Abs. 2 Bst. a und Abs. 3 AsylG zugrundeliegenden Zielsetzung, die Abgabe von Reise- oder Identitätspapieren zu fördern, welche den Vollzug einer allfälligen Wegweisung ohne (grossen) administrativen Aufwand ermöglichen (vgl. das zur Publikation bestimmte Urteil des Bundesverwaltungsgerichts D-6069/2008 vom 3. Februar 2010 a.a.O. E. 6.2).</w:t>
      </w:r>
    </w:p>
    <w:p>
      <w:r>
        <w:rPr>
          <w:b/>
        </w:rPr>
        <w:t>E. 5.3.2</w:t>
      </w:r>
    </w:p>
    <w:p>
      <w:r>
        <w:t>Der Beschwerdeführer wurde am 30. November 2006 schriftlich aufgefordert, Identitätspapiere zu den Akten zu reichen (A3). Anlässlich der Befragung im EVZ vom 11. Dezember 2006 erklärte er, er werde versuchen, seinen Angehörigen zu schreiben und "eine Identitätskarte" schicken zu lassen; bis jetzt habe er noch nichts unternommen (A1 S. 4). Im Rahmen der Anhörung vom 20. Dezember 2006 führte der Beschwerdeführer aus, er habe mit den Leuten, wo er zuletzt gewohnt habe (Anmerk. BVGer: Nachikuddah, Trincomalee), Kontakt aufgenommen und sie hätten ihm gesagt, sie würden mit dem Dorfvorsteher sprechen und ihm eine ID-Karte schicken (A7 S. 2). In der Eingabe vom 15. Februar 2007 - rund zwei Monate später und nun mehr im Rahmen des Beschwerdeverfahrens - führte der Rechtsvertreter des Beschwerdeführers aus, dieser habe einen Freund in Sri Lanka beauftragt, "die Identitätskarte" zu organisieren und sie ihm in die Schweiz zu schicken; aufgrund der zurzeit schwierigen Lage in Sri Lanka werde "dieses Prozedere" noch einige Wochen in Anspruch nehmen. Im Rahmen seines Replikrechts liess der Beschwerdeführer sodann am 17. April 2007 - mithin rund viereinhalb Monate nachdem er erstmals aufgefordert worden war, rechtsgenügliche Identitätspapiere einzureichen - eine am 24. März 2007 von Trincomalee aus in die Schweiz versandte Identitätskarte zu den Akten reichen und in diesem Zusammenhang einzig ausführen, damit erübrigten sich weitere Ausführungen zur Vernehmlassung der Vorinstanz respektive zur Frage der entschuldbaren Gründe. Als das BFM in der Folge im Rahmen eines weiteren Schriftenwechsels dem Beschwerdeführer entgegenhielt, die nunmehr vorliegende Identitätskarte sei am 15. März 2007 und somit über zwei Monate nach dem Erlass der erstinstanzlichen Verfügung in Colombo - und daher offensichtlich in Abwesenheit - ausgestellt worden, führte der Rechtsvertreter aus, der Beschwerdeführer sei im Zeitpunkt der Entscheidfällung noch gar nicht im Besitze der (neuen) Identitätskarte gewesen - die Alte habe er ja dem Schlepper abgeben müssen; die in EMARK 1999 Nr. 16 publizierte Praxis könne daher vorliegend keine Anwendung finden.</w:t>
      </w:r>
    </w:p>
    <w:p>
      <w:r>
        <w:rPr>
          <w:b/>
        </w:rPr>
        <w:t>E. 5.3.3</w:t>
      </w:r>
    </w:p>
    <w:p>
      <w:r>
        <w:t>Das oben geschilderte Verhalten des Beschwerdeführers im Zusammenhang mit der Beschaffung von Identitätspapieren erweckt nicht den Eindruck, er habe sich umgehend und ernsthaft bemüht, innert angemessener Frist solche Dokumente beizubringen. Er hat zu keiner Zeit substanziiert dargelegt, wie und über welche Kanäle er gedenke, in den Besitz von rechtsgenüglichen Ausweispapieren zu kommen. So erklärte er zunächst, er werde versuchen, "seinen Angehörigen" zu schreiben. Eine Wochen später legte er dar, er habe "mit den Leuten, wo er zuletzt gewohnt habe" Kontakt aufgenommen und wiederum zwei Monate später, nachdem ihm in der vorinstanzlichen Verfügung - wie oben festgehalten zu Recht - vorgehalten worden war, er habe keine entschuldbaren Gründe für das Nichtbeibringen von Identitätspapieren, führte er aus, er habe "einen Freund" beauftragt, ihm "die Identitätskarte" in die Schweiz zu schicken. Welche konkreten Schritte er ferner unternommen hat und unter welchen Umständen es ihm gelungen sein soll, in den Besitz der neuen Identitätskarte zu kommen, bleibt im Dunkeln; er spricht einzig diffus von einem "Prozedere" und weitere Ausführungen in diesem Zusammenhang erübrigten sich. Dies erstaunt umso mehr, als er sich - wie die Vorinstanz zu Recht festhielt - offensichtlich in Abwesenheit einen Ersatz für die angeblich dem Schlepper abgegebene ursprüngliche Identitätskarte beschaffen lassen konnte, obwohl er eigenen Angaben zufolge von den srilankischen Behörden gesucht worden sei. Bei dieser Sachlage muss davon ausgegangen werden, dass der Beschwerdeführer von der Absicht geleitet war, seinen Aufenthalt in der Schweiz unrechtmässig zu verlängern.</w:t>
      </w:r>
    </w:p>
    <w:p>
      <w:r>
        <w:rPr>
          <w:b/>
        </w:rPr>
        <w:t>E. 5.4</w:t>
      </w:r>
    </w:p>
    <w:p>
      <w:r>
        <w:t>In der Rechtsmitteleingabe wird in Bezug auf die Frage der Flüchtlingseigenschaft eingewendet, die Begründung des BFM in der angefochtenen Verfügung beruhe fast ausschliesslich auf unbehelflichen Spekulationen. Die Vorhalte des BFM würden sich daher als wenig überzeugend erweisen, womit sich der getroffene Nichteintretensentscheid nicht mit fehlender Glaubhaftigkeit rechtfertigen lasse. Dieser Argumentation vermag das Bundesverwaltungsgericht nicht zu folgen. Eine Überprüfung der Akten ergibt, dass die von der Vorinstanz aufgrund der Aussagen des Beschwerdeführers bei den Befragungen gezogenen Schlussfolgerungen nicht zu beanstanden sind. Der Sachvortrag des Beschwerdeführers erweist sich in den Kernpunkten in der Tat als unglaubhaft und wirkt letztlich konstruiert. Diese Feststellung erfährt zusätzlich dadurch Gewicht, als dass sich der Beschwerdeführer mit dem pauschalen Vorwurf der spekulativen vorinstanzlichen Erwägungen in der Rechtsmitteleingabe letztlich nur zu wenigen der zahlreichen Begründungselemente des BFM äussert, die im Gesamtkontext ausserdem als von untergeordneter Bedeutung zu werten sind. Unter anderem im Zusammenhang mit den Umständen der Begleitung von angeblich der LTTE zuzurechnenden Personen durch den Beschwerdeführer erweisen sich die Ausführungen in der Beschwerde nicht minder mutmassend respektive spekulativ (Druckausübung auf Muslime durch Angehörige der LTTE; Muslime dürften seitens der Sicherheitskräfte und Kontrollposten nicht im gleichen Masse der Zugehörigkeit zur LTTE verdächtigt werden wie Tamilen; Transportbegleitungen nach Colombo durch Nicht-Tamilen sei alles andere als abwegig). Vor dem Hintergrund allfälliger Kontrollen durch die Sicherheitsleute dürfte das Ausscheiden von Personen mit unterschiedlichen Ethnien nämlich kein grosses Problem darstellen und die Vorgehensweise der Kontrollorgane aufgrund eines Verdachtes deshalb entsprechend gründlich ausfallen. Der in der Beschwerde vermittelte Eindruck, wonach die vom Beschwerdeführer begleiteten Personen auf dessen Dienste angewiesen gewesen sein sollen beziehungsweise sich in Sicherheit vor möglichen Unannehmlichkeiten hätten fühlen können, erscheint kaum plausibel. Nicht unerwähnt bleiben darf in diesem Kontext schliesslich, dass der Beschwerdeführer zu der von ihm geschilderten und vom BFM als unglaubhaft erachteten Vorgehensweise der Kontrolleure, insbesondere hinsichtlich des versteckten Transportgutes, in der Rechtsmitteleingabe kein Wort verliert. Ebenfalls findet keine Auseinandersetzung mit den dem Beschwerdeführer vom BFM vorgehaltenen Unglaubhaftigkeitselementen im Zusammenhang rund um seinen Aufenthalt in Colombo oder den Bedrohungen und Nachstellungen durch die LTTE sowie das Militär für die Zeit seines Aufenthalts in Trincomalee nach der Rückkehr aus Colombo bis zur Ausreise statt. Hinsichtlich der Bedrohung durch Angehörige der LTTE ist ergänzend auf eine weitere Unstimmigkeit in den Aussagen des Beschwerdeführers hinzuweisen, will er gemäss Akten doch in der erwähnten Zeitspanne keinen direkten Kontakt mehr mit Angehörigen der LTTE gehabt und nur von Kollegen erfahren haben, dass er von Leuten dieser Organisation gesucht worden sein soll. Nach dem Gesagten erweisen sich die Ausführungen in der Rechtsmitteleingabe nicht geeignet, die Argumentation des BFM in der angefochtenen Verfügung zu entkräften oder gar zu beseitigen. Mangels Hinweisen oder näherer Aufschlüsse für eine (asyl-) relevante Gefährdungssituation des Beschwerdeführers erübrigen sich demnach weitere Erörterungen. Nichts zu seinen Gunsten abzuleiten vermag der Beschwerdeführer letztlich mit der Berufung auf die Bestimmung von Art. 32 Abs. 3 Bst. c AsylG. Entgegen der in der Beschwerde vertretenen Ansicht brauchte es im Zeitpunkt des Entscheids des BFM keine zusätzlichen Abklärungen hinsichtlich allfälliger Wegweisungsvollzughindernisse (vgl. BVGE 2009/50 S. 721 ff.). Lediglich der Vollständigkeit halber ist in diesem Zusammenhang festzuhalten, dass der Beschwerdeführer im Zeitpunkt des vorliegenden Urteils vorläufig in der Schweiz aufgenommen ist und sich somit entsprechende Erörterungen in diesem Zusammenhang ohnehin erübrigen.</w:t>
      </w:r>
    </w:p>
    <w:p>
      <w:r>
        <w:rPr>
          <w:b/>
        </w:rPr>
        <w:t>E. 5.5</w:t>
      </w:r>
    </w:p>
    <w:p>
      <w:r>
        <w:t>Zusammenfassend ist festzuhalten, dass das BFM zu Recht gestützt auf Art. 32 Abs. 2 Bst. a i.V.m. Art. 32 Abs. 3 AsylG auf das Asylgesuch des Beschwerdeführers nicht eingetreten ist.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In teilweiser Wiedererwägung der angefochtenen Verfügung wurde der Beschwerdeführer mit Verfügung des BFM vom 9. April 2008 in der Schweiz vorläufig aufgenommen (vgl. Bst. J sowie E. 5.4). Da die Beschwerde vom 17. Januar 2009 dadurch hinsichtlich des Vollzugs der Wegweisung gegenstandslos geworden ist, erübrigen sich Erörterungen in diesem Zusammenhang.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sie nicht gegenstandslos geworden ist.</w:t>
      </w:r>
    </w:p>
    <w:p>
      <w:r>
        <w:rPr>
          <w:b/>
        </w:rPr>
        <w:t>E. 9.1</w:t>
      </w:r>
    </w:p>
    <w:p>
      <w:r>
        <w:t>Der Beschwerdeführer ist mit seinem Rechtsbegehren im Rahmen eines Schriftenwechsels mit der Vorinstanz teilweise durchgedrungen (Feststellung der Unzumutbarkeit des Vollzugs der Wegweisung), weshalb praxisgemäss von einem hälftigen Obsiegen auszugehen ist. Mit Zwischenverfügung vom 1. Februar 2007 wurde der Entscheid über das Gesuch um Gewährung der unentgeltlichen Rechtspflege auf einen späteren Zeitpunkt verschoben. Abklärungen haben ergeben, dass der Beschwerdeführer seit dem 15. Juni 2007 einer Erwerbstätigkeit als Produktionsleiter nachgeht. Damit ist eine der gemäss Art. 65 Abs. 1 VwVG kumulativ geforderten Voraussetzungen - die Bedürftigkeit - im heutigen Zeitpunkt nicht (mehr) gegeben, weshalb das Gesuch um Gewährung der unentgeltlichen Rechtshilfe abzuweisen ist und dem Beschwerdeführer die aufgrund des hälftigen Obsiegens reduzierten und auf insgesamt Fr. 300.- festzusetzenden Verfahrenskosten aufzuerlegen sind (Art. 63 Abs. 1 und 5 VwVG sowie Art. 1-3 des Reglements vom 21. Februar 2008 über die Kosten und Entschädigungen vor dem Bundesverwaltungsgericht [VGKE, SR 173.320.2]) sind.</w:t>
      </w:r>
    </w:p>
    <w:p>
      <w:r>
        <w:rPr>
          <w:b/>
        </w:rPr>
        <w:t>E. 9.2</w:t>
      </w:r>
    </w:p>
    <w:p>
      <w:r>
        <w:t>Aufgrund des hälftigen Obsiegens ist dem Beschwerdeführer eine Parteientschädigung für die ihm notwendigerweise erwachsenen Parteikosten zuzusprechen, welche praxisgemäss um die Hälfte herabzusetzen ist (Art. 64 Abs. 1 VwVG sowie Art. 7 Abs. 2 VGKE). Nachdem keine Kostennote zu den Akten gereicht worden ist und sich der notwendige Vertretungsaufwand aufgrund der Aktenlage, insbesondere der Ausführungen in der Beschwerde vom 17. Januar 2007 (dem Beschwerdeführer wurde bis zu diesem Zeitpunkt ein Honorar von Fr. 310.- in Rechnung gestellt), hinreichend zuverlässig abschätzen lässt, ist die von der Vorinstanz auszurichtende, reduzierte Parteientschädigung unter Berücksichtigung der massgebenden Berechnungsfaktoren von Amtes wegen auf Fr. 450.-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