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D-4408/2012 vom 18. Dezember 2013</w:t>
      </w:r>
    </w:p>
    <w:p>
      <w:r>
        <w:t>Bundesverwaltungsgericht, 2013-12-18, DE</w:t>
      </w:r>
    </w:p>
    <w:p>
      <w:r>
        <w:rPr>
          <w:b/>
        </w:rPr>
        <w:t xml:space="preserve">Quelle: </w:t>
      </w:r>
      <w:r>
        <w:t>https://mcp.opencaselaw.ch/entscheid/bvger_D-4408_2012</w:t>
      </w:r>
    </w:p>
    <w:p>
      <w:r>
        <w:t>FR: TAF D-4408/2012 du 18 décembre 2013</w:t>
      </w:r>
    </w:p>
    <w:p>
      <w:r>
        <w:t>IT: TAF D-4408/2012 del 18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 Bern 1983, S. 212).</w:t>
      </w:r>
    </w:p>
    <w:p>
      <w:r>
        <w:rPr>
          <w:b/>
        </w:rPr>
        <w:t>E. 2.3</w:t>
      </w:r>
    </w:p>
    <w:p>
      <w:r>
        <w:t>Die Beschwerde ist im Verfahren einzelrichterlicher Zuständigkeit mit Zustimmung eines zweiten Richters beziehungsweise Richterin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Die Vorinstanz geht damit selbst davon aus, dass der Sachverhalt, wie er der Verfügung vom 25. Juli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VwVG); der geleistete Kostenvorschuss von Fr. 600.- ist der Beschwerdeführerin zurückzuerstatten.</w:t>
      </w:r>
    </w:p>
    <w:p>
      <w:r>
        <w:rPr>
          <w:b/>
        </w:rPr>
        <w:t>E. 4.2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der Beschwerdeführerin hat keine Kostennote eingereicht. Jedoch lässt sich der notwendige Vertretungsaufwand aufgrund der Aktenlage hinreichend zuverlässig abschätzen. Unter Berücksichtigung der massgebenden Bemessungsfaktoren (Art. 9-13 VGKE) hat das BFM der Beschwerdeführerin eine Parteientschädigung in der Höhe von insgesamt Fr. 1300.- (inkl. Auslagen und allfällige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