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D-4407/2022 vom 19. Oktober 2022</w:t>
      </w:r>
    </w:p>
    <w:p>
      <w:r>
        <w:t>Bundesverwaltungsgericht, 2022-10-19, IT</w:t>
      </w:r>
    </w:p>
    <w:p>
      <w:r>
        <w:rPr>
          <w:b/>
        </w:rPr>
        <w:t xml:space="preserve">Quelle: </w:t>
      </w:r>
      <w:r>
        <w:t>https://mcp.opencaselaw.ch/entscheid/bvger_D-4407_2022</w:t>
      </w:r>
    </w:p>
    <w:p>
      <w:r>
        <w:t>FR: TAF D-4407/2022 du 19 octobre 2022</w:t>
      </w:r>
    </w:p>
    <w:p>
      <w:r>
        <w:t>IT: TAF D-4407/2022 del 19 ottobre 2022</w:t>
      </w:r>
    </w:p>
    <w:p>
      <w:pPr>
        <w:pStyle w:val="Heading2"/>
      </w:pPr>
      <w:r>
        <w:t>Regeste</w:t>
      </w:r>
    </w:p>
    <w:p>
      <w:r>
        <w:t>Asilo (non entrata nel merito) ed allontanamento (procedura Dublino - art. 31a cpv. 1 lett. b LAsi)</w:t>
      </w:r>
    </w:p>
    <w:p>
      <w:pPr>
        <w:pStyle w:val="Heading2"/>
      </w:pPr>
      <w:r>
        <w:t>Erwägungen</w:t>
      </w:r>
    </w:p>
    <w:p>
      <w:r>
        <w:rPr>
          <w:b/>
        </w:rPr>
        <w:t>E. 10.1</w:t>
      </w:r>
    </w:p>
    <w:p>
      <w:r>
        <w:t>Chiarito questo aspetto, occorre ora determinare se l'autorità inferiore non sia a giusto titolo entrata nel merito della domanda d'asilo presentata dall'insorgente, ritenendo l'Austria competente per l'analisi della domanda (cfr. supra consid. 7.2).</w:t>
      </w:r>
    </w:p>
    <w:p>
      <w:r>
        <w:rPr>
          <w:b/>
        </w:rPr>
        <w:t>E. 10.2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2019 VI/7 consid. 4 a 6 e 2017 VI/5 consid. 6.2 con riferimenti citati).</w:t>
      </w:r>
    </w:p>
    <w:p>
      <w:r>
        <w:rPr>
          <w:b/>
        </w:rPr>
        <w:t>E. 10.3</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10.4</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10.5</w:t>
      </w:r>
    </w:p>
    <w:p>
      <w:r>
        <w:t>Nel caso in rassegna, vista la richiesta di ripresa in carico fondata sull'art. 18 par. 1 lett. b Regolamento Dublino III, la successiva richiesta di riesame della richiesta, nonché l'espressa accettazione della medesima da parte delle autorità austriache in applicazione della stessa disposizione, la competenza dell'Austria per la trattazione della procedura d'asilo e di allontanamento del richiedente, risulta di principio essere data.</w:t>
      </w:r>
    </w:p>
    <w:p>
      <w:r>
        <w:rPr>
          <w:b/>
        </w:rPr>
        <w:t>E. 11.1</w:t>
      </w:r>
    </w:p>
    <w:p>
      <w:r>
        <w:t>Passando ora all'analisi della procedura di asilo e di accoglienza dei richiedenti in Austria, non vi sono fondati motivi di ritenere che sussistano carenze sistemiche che implichino il rischio di un trattamento inumano o degradante ai sensi dell'art. 4 della Carta UE (cfr. art. 3 par. 2 2ª frase Regolamento Dublino III).</w:t>
      </w:r>
    </w:p>
    <w:p>
      <w:r>
        <w:rPr>
          <w:b/>
        </w:rPr>
        <w:t>E. 11.2</w:t>
      </w:r>
    </w:p>
    <w:p>
      <w:r>
        <w:t>Peraltro, l'Austria è legata alla CartaUE e firmataria, della Convenzione per la salvaguardia dei diritti dell'uomo e delle libertà fondamentali del 4 novembre 1950 (CEDU, RS 0.101), della Convenzione contro la tortura ed altre pene o trattamenti crudeli, inumani o degradanti del 10 dicembre 1984 (Conv. tortura, RS 0.105), della Convenzione sullo statuto dei rifugiati del 28 luglio 1951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11.3</w:t>
      </w:r>
    </w:p>
    <w:p>
      <w:r>
        <w:t>Tale presunzione, non è tuttavia assoluta e può essere confutata in presenza di indizi seri che, nel caso concreto, le autorità di tale Stato non rispetterebbero il diritto internazionale (cfr. DTAF 2011/9 consid. 6; 2010/45 consid. 7.4 e 7.5); che la stessa va inoltre scartata d'ufficio in presenza di violazioni sistematiche delle garanzie minime previste dall'Unione europea o di indizi seri di violazioni del diritto internazionale (cfr. DTAF 2011/9 consid. 6; sentenza della Corte europea dei diritti dell'uomo [Corte EDU] M.S.S. contro Belgio e Grecia del 21 gennaio 2011, 30696/09).</w:t>
      </w:r>
    </w:p>
    <w:p>
      <w:r>
        <w:rPr>
          <w:b/>
        </w:rPr>
        <w:t>E. 11.4</w:t>
      </w:r>
    </w:p>
    <w:p>
      <w:r>
        <w:t>Ciò non è palesemente il caso per quanto concerne il Paese in parola (cfr. tra le tante, sentenza del Tribunale E-4027/2022 del 21 settembre 2022, pag. 6). Conseguentemente, l'applicazione dell'art. 3 par. 2 2a frase Regolamento Dublino III non si giustifica nel caso di specie.</w:t>
      </w:r>
    </w:p>
    <w:p>
      <w:r>
        <w:rPr>
          <w:b/>
        </w:rPr>
        <w:t>E. 12.1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12.2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Nell'applicazione di tale disposizione normativa,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13.1</w:t>
      </w:r>
    </w:p>
    <w:p>
      <w:r>
        <w:t>Nel caso in disamina, il ricorrente non ha dimostrato che lo Stato di destinazione non sia intenzionato a riprenderlo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w:t>
      </w:r>
    </w:p>
    <w:p>
      <w:r>
        <w:rPr>
          <w:b/>
        </w:rPr>
        <w:t>E. 13.2.1</w:t>
      </w:r>
    </w:p>
    <w:p>
      <w:r>
        <w:t>Essendo decisivo visto la doglianza in tal senso, occorre a questo punto chiedersi, da una parte se l'accertamento dei fatti operato dall'autorità inferiore quanto alle affezioni di cui soffre l'insorgente sia stato o meno esaustivo.</w:t>
      </w:r>
    </w:p>
    <w:p>
      <w:r>
        <w:rPr>
          <w:b/>
        </w:rPr>
        <w:t>E. 13.2.2</w:t>
      </w:r>
    </w:p>
    <w:p>
      <w:r>
        <w:t>Alla luce dell'applicazione del principio inquisitorio l'autorità competente deve infatti procedere d'ufficio all'accertamento esatto e completo dei fatti giuridicamente rilevanti (DTAF 2019 I/6 consid. 5.1 per ulteriori riferimenti completi).</w:t>
      </w:r>
    </w:p>
    <w:p>
      <w:r>
        <w:rPr>
          <w:b/>
        </w:rPr>
        <w:t>E. 13.2.3</w:t>
      </w:r>
    </w:p>
    <w:p>
      <w:r>
        <w:t>Il respingimento forzato di persone che soffrono di problematiche mediche, costituisce una violazione dell'art. 3 CEDU unicamente in circostanze eccezionali, che ciò risulta essere il caso segnatamente laddove la malattia dell'interessato si trovi in uno stadio a tal punto avanzato o terminale da lasciar presupporre che, a seguito del trasferimento, la sua morte appaia come una prospettiva prossima (cfr. sentenza della Corte 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 EDU Paposhvili contro Belgio del 13 dicembre 2016, 41738/10, § 181 segg.).</w:t>
      </w:r>
    </w:p>
    <w:p>
      <w:r>
        <w:rPr>
          <w:b/>
        </w:rPr>
        <w:t>E. 13.3.1</w:t>
      </w:r>
    </w:p>
    <w:p>
      <w:r>
        <w:t>Al momento dell'emissione della decisione impugnata, lo stato di salute dell'insorgente risultava sufficientemente acclarato (cfr. sentenza del Tribunale D-546/2022 dell'11 marzo 2022 consid. 4) e non ostativo all'esecuzione del trasferimento. Invero, il ricorrente il 16 agosto 2022 è stato visitato da un medico il quale ha riscontrato un (...) per il quale ha consigliato una presa a carico psicoterapeutica. Per quanto riguarda l'assenza di informazioni in merito allo stato di salute psichico dell'insorgente, rispettivamente una mancata presa in carico psicologica, tali mancanze non possono essere imputate alla SEM. Innanzitutto si rileva come nel corso dell'audizione per minori non accompagnati del 9 agosto 2022, egli abbia dichiarato di essere sano. In tale occasione la SEM gli ha inoltre rammentato che sarebbe sua responsabilità far valere qualsiasi problematica medica che potrebbe rivelarsi determinante per la sua procedura d'asilo. In secondo luogo, nonostante il ricorrente nel corso della visita medica del 16 agosto 2022 abbia dichiarato di avere problemi psicologici, non vi sono indizi per ritenere che egli si sia rivolto all'infermeria del Centro e che la stessa gli abbia negato un consulto psicologico rispettivamente una visita medica.</w:t>
      </w:r>
    </w:p>
    <w:p>
      <w:r>
        <w:rPr>
          <w:b/>
        </w:rPr>
        <w:t>E. 13.3.2</w:t>
      </w:r>
    </w:p>
    <w:p>
      <w:r>
        <w:t>Alla luce di quanto sopra, quand'anche non vi siano ancora una diagnosi per gli eventuali problemi psicologici, non vi sono indizi per ritenere che egli sia affetto da una patologia grave, rispettivamente che questa non possa essere trattata in Austria. Invero, è notorio che lo Stato di destinazione dispone di infrastrutture mediche sufficienti. Altresì, in quanto Stato firmatario della direttiva accoglienza, deve provvedere affinché i richiedenti ricevano la necessaria assistenza sanitaria comprendente quanto meno le prestazioni di pronto soccorso ed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w:t>
      </w:r>
    </w:p>
    <w:p>
      <w:r>
        <w:rPr>
          <w:b/>
        </w:rPr>
        <w:t>E. 13.3.3</w:t>
      </w:r>
    </w:p>
    <w:p>
      <w:r>
        <w:t>Infine, qualora necessario prima del trasferimento, sarà premura delle autorità competenti per l'esecuzione dell'allontanamento informare in maniera precisa e completa le autorità austriache dell'arrivo e degli eventuali problemi di salute dell'insorgente (cfr. art. 31 Regolamento Dublino III).</w:t>
      </w:r>
    </w:p>
    <w:p>
      <w:r>
        <w:rPr>
          <w:b/>
        </w:rPr>
        <w:t>E. 13.4</w:t>
      </w:r>
    </w:p>
    <w:p>
      <w:r>
        <w:t>In conclusione dunque, il ricorrente non ha fornito indizi seri suscettibili di comprovare che le sue condizioni di vita o la sua situazione personale sarebbero tali da contravvenire all'art. 4 della CartaUE, all'art. 3 CEDU o all'art. 3 Conv. tortura in caso di esecuzione del trasferimento in Austria.</w:t>
      </w:r>
    </w:p>
    <w:p>
      <w:r>
        <w:rPr>
          <w:b/>
        </w:rPr>
        <w:t>E. 13.5</w:t>
      </w:r>
    </w:p>
    <w:p>
      <w:r>
        <w:t>In seguito, non risultano neppure esserci indizi che permettano di ritenere che la SEM abbia esercitato in maniera arbitraria il potere di apprezzamento di cui dispone nell'applicazione dell'art. 29a cpv. 3 OAsi 1.</w:t>
      </w:r>
    </w:p>
    <w:p>
      <w:r>
        <w:rPr>
          <w:b/>
        </w:rPr>
        <w:t>E. 13.6</w:t>
      </w:r>
    </w:p>
    <w:p>
      <w:r>
        <w:t>Pertanto, non vi è motivo di applicare la clausola discrezionale di cui all'art. 17 par. 1 Regolamento Dublino III (clausola di sovranità).</w:t>
      </w:r>
    </w:p>
    <w:p>
      <w:r>
        <w:rPr>
          <w:b/>
        </w:rPr>
        <w:t>E. 13.7</w:t>
      </w:r>
    </w:p>
    <w:p>
      <w:r>
        <w:t>Di conseguenza, in mancanza dell'applicazione di tale norma da parte della Svizzera, l'Austria è competente dell'esame della domanda di asilo del ricorrente ai sensi Regolamento Dublino III ed è tenuta a riprenderlo in carico in ossequio alle condizioni poste agli art. 23, 24, 25, 29 Regolamento Dublino III.</w:t>
      </w:r>
    </w:p>
    <w:p>
      <w:r>
        <w:rPr>
          <w:b/>
        </w:rPr>
        <w:t>E. 14</w:t>
      </w:r>
    </w:p>
    <w:p>
      <w:r>
        <w:t>Alla luce di quanto precede, è dunque a giusto titolo che la SEM non è entrata nel merito della domanda di asilo del ricorrente, in applicazione dell'art. 31a cpv. 1 lett. b LAsi ed ha pronunciato il suo trasferimento verso l'Austria conformemente all'art. 44 LAsi. In siffatte circostanze, non vi è più luogo di esaminare in maniera distinta le questioni relative all'esistenza di un impedimento all'esecuzione del trasferimento per i motivi giusta i cpv. 3 e 4 dell'art. 83 della legge federale sugli stranieri e la loro integrazione del 16 dicembre 2005 (LStr, RS 142.20), dal momento che detti motivi sono indissociabili dal giudizio di non entrata nel merito nel quadro di una procedura Dublino (cfr. DTAF 2015/18 consid. 5.2).</w:t>
      </w:r>
    </w:p>
    <w:p>
      <w:r>
        <w:rPr>
          <w:b/>
        </w:rPr>
        <w:t>E. 15</w:t>
      </w:r>
    </w:p>
    <w:p>
      <w:r>
        <w:t>Ne consegue che il ricorso deve essere respinto e la decisione della SEM, che rifiuta l'entrata nel merito della domanda di asilo e pronuncia il trasferimento dalla Svizzera verso l'Austria, confermata.</w:t>
      </w:r>
    </w:p>
    <w:p>
      <w:r>
        <w:rPr>
          <w:b/>
        </w:rPr>
        <w:t>E. 16</w:t>
      </w:r>
    </w:p>
    <w:p>
      <w:r>
        <w:t>Avendo il Tribunale statuito nel merito del ricorso, la domanda di concessione dell'effetto sospensivo è divenuta senza oggetto.</w:t>
      </w:r>
    </w:p>
    <w:p>
      <w:r>
        <w:rPr>
          <w:b/>
        </w:rPr>
        <w:t>E. 17</w:t>
      </w:r>
    </w:p>
    <w:p>
      <w:r>
        <w:t>Per i medesimi motivi, anche la domanda di esenzione dal versamento di un anticipo equivalente alle presumibili spese processuali è divenuta senza oggetto.</w:t>
      </w:r>
    </w:p>
    <w:p>
      <w:r>
        <w:rPr>
          <w:b/>
        </w:rPr>
        <w:t>E. 18</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19</w:t>
      </w:r>
    </w:p>
    <w:p>
      <w:r>
        <w:t>Le misure supercautelari ordinate dal Tribunale il 3 ottobre 2022 decadono con la presente decisione finale (cfr. Hansjörg Seiler, in: Waldmann/Weissenberger (ed.), Praxiskommentar VwVG, 2a ed. 2016, n. 54 ad art. 56 PA).</w:t>
      </w:r>
    </w:p>
    <w:p>
      <w:r>
        <w:rPr>
          <w:b/>
        </w:rPr>
        <w:t>E. 20</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