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D-4407/2020 vom 10. September 2020</w:t>
      </w:r>
    </w:p>
    <w:p>
      <w:r>
        <w:t>Bundesverwaltungsgericht, 2020-09-10, DE</w:t>
      </w:r>
    </w:p>
    <w:p>
      <w:r>
        <w:rPr>
          <w:b/>
        </w:rPr>
        <w:t xml:space="preserve">Quelle: </w:t>
      </w:r>
      <w:r>
        <w:t>https://mcp.opencaselaw.ch/entscheid/bvger_D-4407_2020</w:t>
      </w:r>
    </w:p>
    <w:p>
      <w:r>
        <w:t>FR: TAF D-4407/2020 du 10 septembre 2020</w:t>
      </w:r>
    </w:p>
    <w:p>
      <w:r>
        <w:t>IT: TAF D-4407/2020 del 10 settembre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damit, dass der Kosovo ein verfolgungssicherer Staat gemäss Art. 6a Abs. 2 Bst. a AsylG sei. Dabei handle es sich um eine relative Verfolgungssicherheit, welche im Einzelfall aufgrund konkreter und substanziierter Hinweise umgestossen werden könne. Solche Hinweise seien vorliegend aber nicht ersichtlich. Die vom Beschwerdeführer geltend gemachte Bedrohung sei nicht mehr aktuell. Den eingereichten Dokumenten sei zu entnehmen, dass die Drohungen in den sozialen Medien in den Jahren 2008 und 2009 erfolgt seien. Es sei davon auszugehen, dass diese Äusserungen in Anbetracht der zeitlichen Nähe zum Vorfall noch unter dem Einfluss entsprechender Eindrücke entstanden seien. Weitere Drohungen aus den letzten mehr als zehn Jahren seien nicht aktenkundig, weshalb eine aktuelle konkrete Bedrohung eher unrealistisch erscheine. In der Anhörung habe er erwähnt, zwei Taxifahrer aus dem Heimatort hätten ihm zugetragen, dass sich D._______ nach ihm erkundigt habe. In der entsprechenden Erklärung werde zwar allgemein ausgeführt, dass er im Kosovo gefährdet sei, während jedoch nicht erwähnt werde, dass die zwei Personen Kontakt mit D._______ gehabt hätten. Doch selbst wenn davon ausgegangen werden könnte, dass entsprechende Erkundigungen tatsächlich stattgefunden hätten, so ergebe sich daraus noch keine konkrete Drohung. Angesichts der traditionellen Gegebenheiten im albanischsprachigen Raum, namentlich der Regeln des Kanun, komme dem Aspekt der Wiedergutmachung eine massgebliche Rolle zu. Den Akten sei zu entnehmen, dass der Beschwerdeführer der Familie der Opfer mittlerweile mindestens Fr. (...) geleistet habe und weiterhin seinen Ratenzahlungen nachkomme. Bereits der Umstand, dass die Opferfamilie diese Zahlungen entgegennehme, lasse auf eine Übereinkunft zwischen den Familien schliessen. Würden solche Zahlungen akzeptiert, seien nach den traditionellen Regeln andere Vergeltungsmassnahmen ausgeschlossen. Die Annahme der finanziellen Wiedergutmachung lasse auch darauf schliessen, dass die Opferfamilie die Verurteilung als Gerechtigkeitsaspekt wahrgenommen habe. In diesem Sinne habe sich auch der Beschwerdeführer in seinem Asylgesuch wie auch der Anhörung geäussert, auch wenn er in der letzteren noch angegeben habe, er denke nicht, dass D._______ sich damit habe befrieden lassen. Bezeichnend sei auch, dass die Drohungen noch vor dem erstinstanzlichen Strafurteil ausgesprochen worden seien und danach keine weiteren gefolgt seien. Der Einwand, wonach diese Schlussfolgerung nicht auf im Kosovo verbliebene Verwandte, namentlich D._______ anzuwenden sei, werde durch nichts Konkretes untermauert. Die eingereichte Mitschrift des Gesprächs mit dem Konsul des Kosovo äussere sich allgemein dahingehend, dass der Kanun im Kosovo nach wie vor ausgeübt werde und die Polizei nichts dagegen unternehmen könne, dass es keine privaten Organisationen gebe, die sich für eine Versöhnung einsetzen würden und dass Personen, welche eine andere Person getötet hätten, grundsätzlich mit Blutrache zu rechnen hätten. Diese grundsätzlichen Feststellungen könne das SEM bestätigen. Dabei werde aber ausser Acht gelassen, dass selbst die Regeln des Kanun die Befriedung durch Wiedergutmachung vorsehen würden. Ähnlich seien die Aussagen des Dorfvorstehers zu bewerten. Auch dieser lege in sehr allgemeiner Form die Grundsätze des albanischen Gewohnheitsrechts dar, ohne wiederum die Wiedergutmachungsmassnahmen zu erwähnen. Ferner handle es sich beim Dorfvorsteher um einen Bekannten des Beschwerdeführers aus Jugendjahren und die Erklärung sei auf seinen Wunsch erstellt worden. Dies deute auf einen erheblichen Gefälligkeitscharakter hin. Schliesslich sei die Furcht vor Blutrache erstmals im Rahmen des Beschwerdeverfahrens vor dem Verwaltungsgericht des Kantons C._______ geltend gemacht worden. Dem Vollzugsbericht vom (...) 2020 sei zu entnehmen, dass er in den Gesprächen zuerst dargelegt habe, es sei zu keinen weiteren Drohungen gekommen und er habe keine Angst. Diese Aussage sei dann aber im späteren Verlauf wieder zurückgenommen worden, was damit erklärt worden sei, er habe dies früher so ausgesagt, um die Gewährung von Vollzugslockerungen und Hafturlauben nicht zu gefährden. Es mute stark opportunistisch an, das Argument der Bedrohung zuerst mit dem Zweck zu verheimlichen, Vorteile im Strafvollzug nicht zu gefährden, um dann ebendieses Argument im Rahmen einer sich immer weiter konkretisierenden Wegweisungsprüfung in prominenter Weise vorzutragen. Vielmehr lasse dieses Verhalten darauf schliessen, dass sich die Gefährdung im Laufe der Zeit gelegt habe. Es passe ferner auch nicht ins Bild einer aktuellen Bedrohung, dass sich der Bruder des Beschwerdeführers in letzter Zeit in den Kosovo begeben habe, um dort Bekannte zu besuchen. Eine begründete Furcht vor einer künftigen Verfolgung sei daher zu verneinen. Ferner fehle es ohnehin an einem flüchtlingsrechtlich relevanten Verfolgungsmotiv. Angesichts der klaren Aktenlage erübrige es sich, dem Antrag auf Vornahme einer Botschaftsabklärung nachzukommen.</w:t>
      </w:r>
    </w:p>
    <w:p>
      <w:r>
        <w:rPr>
          <w:b/>
        </w:rPr>
        <w:t>E. 5.2</w:t>
      </w:r>
    </w:p>
    <w:p>
      <w:r>
        <w:t>Diesen Erwägungen wurde in der Beschwerdeschrift entgegnet, dass die Blutrache nicht ende und über Jahrzehnte fortbestehen könne. Die Vergeltung könne somit über längere Zeit gewissermassen pendent bleiben. Eine Fehde könne nur durch eine Schlichtung beendet werden. Vorliegend seien die Schlichtungsversuche aber gescheitert und es habe lediglich ein temporärer "Waffenstillstand" erzielt werden können. Die Opferfamilie habe zwar die Wiedergutmachungszahlungen angenommen. Es handle sich aber nur um einen Bruchteil der gesamthaft zugesprochenen Genugtuungssumme von insgesamt (...). Der Beschwerdeführer befürchte nicht, von den in der Schweiz lebenden Angehörigen der Opferfamilie angegriffen zu werden. Dieser Teil der Familie habe sich dem schweizerischen Rechtssystem unterworfen und akzeptiere, dass er mit einer Gefängnisstrafe für das Unrecht bestraft worden sei. Die Annahme der Genugtuung sei somit als Bekenntnis zum Schweizer Rechtssystem und nicht als Versöhnungsbereitschaft im Sinne des traditionellen Regel- und Wertesystems zu verstehen. Er befürchte namentlich von D._______ Rachehandlungen. Dieser sei im Zeitpunkt der Tat selbst in Haft gewesen und gemäss Kenntnisstand des Beschwerdeführers in den Kosovo weggewiesen worden. Dort warte er nun auf die Rückkehr des Beschwerdeführers und werde die erste Gelegenheit nutzen, um Rache zu üben. Das Abstützen auf den Kanun könnte dabei auch lediglich als Rechtfertigung für einen Rachemord dienen. Auch wenn die Drohung über zehn Jahre zurückliege, sei davon auszugehen, dass sie nach wie vor Bestand habe und ebenso ernst gemeint sei, wie am Tage, an welchem sie ausgesprochen worden sei. Über die Entlassung und die befürchtete Blutrache sei ferner in den Schweizer Lokalmedien berichtet worden, was die Suchbemühungen durch Angehörige der Opferfamilie erleichtere. D._______ habe bereits begonnen, sich im Kosovo nach dem Beschwerdeführer zu erkundigen. Das SEM wäre gehalten gewesen, die Aktualität der Gefährdung mittels Botschaftsabklärung zu eruieren. Ein entsprechender Antrag sei unbeantwortet geblieben. Die Vorinstanz habe dadurch den Sachverhalt ungenügend abgeklärt.</w:t>
      </w:r>
    </w:p>
    <w:p>
      <w:r>
        <w:rPr>
          <w:b/>
        </w:rPr>
        <w:t>E. 6.1</w:t>
      </w:r>
    </w:p>
    <w:p>
      <w:r>
        <w:t>Dem SEM kann keine ungenügende Sachverhaltsabklärung respektive eine Verletzung des Untersuchungsgrundsatzes vorgeworfen werden.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sondern findet sein Korrelat in der aus Art. 13 VwVG und Art. 8 Abs. 1 AsylG fliessenden Mitwirkungspflicht des Asylsuchenden (vgl. BVGE 2012/21 E. 5.1). Vorliegend ist der Sachverhalt aufgrund der vom Beschwerdeführer eingereichten Dokumente und der Anhörung als hinreichend erstellt zu erachten. Namentlich zu einer Botschaftsabklärung bestand folglich kein Anlass. Es trifft ferner nicht zu, dass der entsprechende Antrag vom SEM nicht behandelt worden wäre. Vielmehr erwog die Vorinstanz, dass es sich angesichts der klaren Aktenlage erübrige, dem Antrag auf Vornahme einer Botschaftsabklärung nachzukommen (vgl. Ziff. II. 2. S. 7 der angefochtenen Verfügung).</w:t>
      </w:r>
    </w:p>
    <w:p>
      <w:r>
        <w:rPr>
          <w:b/>
        </w:rPr>
        <w:t>E. 6.2</w:t>
      </w:r>
    </w:p>
    <w:p>
      <w:r>
        <w:t>In materieller Hinsicht hat das SEM zu Recht festgehalten, dass es der geltend gemachten Furcht vor einer Verfolgung an einem flüchtlingsrechtlich relevanten Motiv fehle (vgl. etwa Urteil des BVGer D-1054/2018 vom 20. März 2020 E. 6.3). Die Flüchtlingseigenschaft ist folglich bereits deshalb zu verneinen.</w:t>
      </w:r>
    </w:p>
    <w:p>
      <w:r>
        <w:rPr>
          <w:b/>
        </w:rPr>
        <w:t>E. 6.3</w:t>
      </w:r>
    </w:p>
    <w:p>
      <w:r>
        <w:t>Darüber hinaus erweist sich auch die Feststellung des SEM als korrekt, dass die Verfolgungsgefahr ohnehin nicht mehr aktuell ist. Dabei kann auf die Erwägungen des SEM wie auch diejenigen im Urteil des Verwaltungsgerichts des Kantons C._______ vom (...) 2019 verwiesen werden. Der Umstand, dass die Drohungen vor über zehn Jahren ausgesprochen wurden, die Familie der Opfer die Genugtuungszahlungen entgegengenommen hat respektive entgegennimmt und sich der Bruder des Beschwerdeführers offenbar problemlos im Kosovo haben aufhalten können (vgl. act. A34 D36 f.), während ein anderer Bruder - soweit aus den Akten ersichtlich - bis vor seinem Tode vor einigen Jahren unbehelligt im Kosovo gelebt habe (vgl. Beschwerdeschrift S. 8), spricht gegen eine aktuelle Verfolgungsgefahr. Ferner wurde die Gefährdung wegen Blutrache im Rahmen des Widerrufsverfahrens der Niederlassungsbewilligung erst sehr spät ins Verfahren eingebracht, was ebenfalls dafür spricht, dass sie nicht mehr aktuell ist. Diese Annahme wird dadurch bestätigt, dass der Beschwerdeführer in der Vergangenheit selbst geltend machte, die Gefahr bestehe nicht mehr, auch wenn er auf diese Aussage später zurückgekommen ist (vgl. Vollzugsbericht vom (...) 2020 [Beilage 6 des Asylgesuchs]).</w:t>
      </w:r>
    </w:p>
    <w:p>
      <w:r>
        <w:rPr>
          <w:b/>
        </w:rPr>
        <w:t>E. 6.4</w:t>
      </w:r>
    </w:p>
    <w:p>
      <w:r>
        <w:t>Das SEM hat die Flüchtlingseigenschaft somit zu Recht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Unter Hinweis auf Erwägung 6.3 ergeben sich sodann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Ansprüche gestützt auf Art. 8 EMRK wurden bereits im kantonalen Wegweisungsverfahren geprüft und verneint.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Das SEM begründete die Zumutbarkeit des Wegweisungsvollzugs damit, dass der Kosovo als Staat gemäss Art. 83 Abs. 5 AIG gelte, in welchen die Rückkehr in der Regel zumutbar sei. Konkrete Hinweise, welche diese Regelvermutung umzustossen vermöchten, seien nicht ersichtlich. Bei der Beurteilung der Zumutbarkeit sei ferner die Straffälligkeit einzubeziehen, welche das öffentliche Interesse an einem Vollzug zusätzlich akzentuiere. Der Beschwerdeführer sei grundsätzlich bei guter Gesundheit, klage aber über leichtere Herzprobleme, einen erhöhten Cholesterolwert, Arthrose am rechten Arm sowie eine akute Belastungsreaktion, hervorgerufen durch Ängste im Zusammenhang mit einer allfälligen Wegweisung. Das kosovarische Gesundheitssystem könne die medizinischen Leiden des Beschwerdeführers jedoch behandeln. Ferner könne den Angstzuständen noch in der Schweiz durch entsprechende Vorbereitungshandlungen entgegengewirkt werden. Er habe berufliche Erfahrung als (...) und verfüge im Kosovo über Verwandte, zu welchen er allerdings seit längerem keinen Kontakt mehr pflege. Angesichts der Bedeutung der familiären Verbindungen in den albanischen Gesellschaften seien diese Verwandten dennoch als unterstützendes Moment zu werten. Eine finanzielle Unterstützung könne ferner von seiner Ehefrau erwartet werden. Es könne der Ehefrau darüber hinaus zugemutet werden, ihm in den Kosovo zu folgen. Ferner bestehe die Möglichkeit von Besuchen. Schliesslich könne auf die Erwägungen des Verwaltungsgerichts des Kantons C._______ verwiesen werden, wonach er in der Schweiz nicht überdurchschnittlich integriert sei und ein strafrechtliches Rückfallrisiko nicht ausgeschlossen werden könne.</w:t>
      </w:r>
    </w:p>
    <w:p>
      <w:r>
        <w:rPr>
          <w:b/>
        </w:rPr>
        <w:t>E. 8.6</w:t>
      </w:r>
    </w:p>
    <w:p>
      <w:r>
        <w:t>In der Beschwerdeschrift wurde eingewendet, dass der Beschwerdeführer enorm unter der drohenden Wegweisung leide. Er könne nicht mehr schlafen, habe Herzrasen und Schmerzen in der Brust, weshalb er sich kürzlich zu einer ärztlichen Untersuchung angemeldet habe. Die Einreichung eines Arztberichtes sei abzuwarten. Seine Kernfamilie und alle Geschwister würden in der Schweiz leben. Einzig der älteste Bruder habe noch im Kosovo gelebt, sei aber vor einigen Jahren verstorben. Zahlreiche Cousins und entfernte Verwandte würden ebenfalls in der Schweiz leben. Mit seinen Angehörigen im Kosovo habe er seit etwa 20 Jahren keinen Kontakt mehr, weshalb er über kein unterstützendes soziales Netz im Heimatstaat verfüge.</w:t>
      </w:r>
    </w:p>
    <w:p>
      <w:r>
        <w:rPr>
          <w:b/>
        </w:rPr>
        <w:t>E. 8.7</w:t>
      </w:r>
    </w:p>
    <w:p>
      <w:r>
        <w:t>Das SEM hat den Vollzug der Wegweisung im Ergebnis zu Recht für zumutbar befunden. Der Bundesrat hat Kosovo als Staat bezeichnet, in den die Rückkehr zumutbar ist (Art. 83 Abs. 3 AIG i.V.m. Art. 18 der Verordnung über den Vollzug der Weg- und Ausweisung sowie der Landesverweisung von ausländischen Personen [VVWAL, SR 142.281] und Anhang 2 der Verordnung). Diese Vermutung vermag der Beschwerdeführer nicht umzustossen. Hinsichtlich der gesundheitlichen Probleme ist festzuhalten, dass die medizinische (inklusive psychiatrische) Grundversorgung im Kosovo grundsätzlich gewährleistet ist (vgl. Urteil des BVGer D-2991/2018 vom 12. November 2018 E. 8.4.2). Der in Aussicht gestellte Arztbericht ist folglich nicht abzuwarten. Weitere Gründe, wonach der Beschwerdeführer bei einer Rückkehr in eine existenzielle Notlage geraten könnte, sind nicht ersichtlich, weshalb der Wegweisungsvollzug für zumutbar zu erachten ist.</w:t>
      </w:r>
    </w:p>
    <w:p>
      <w:r>
        <w:rPr>
          <w:b/>
        </w:rPr>
        <w:t>E. 8.8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8.10</w:t>
      </w:r>
    </w:p>
    <w:p>
      <w:r>
        <w:t>An dieser Stelle ist noch darauf hinzuweisen, dass fraglich erscheint, ob das SEM überhaupt gehalten gewesen war, die Wegweisung und den Vollzug zu prüfen, zumal insbesondere die Vollzugshindernisse bereits im kantonalen Verfahren betreffend den Widerruf der Niederlassungsbewilligung geprüft worden sind, oder ob sich das SEM darauf hätte beschränken müssen, lediglich die Flüchtlingseigenschaft und das Asyl zu prüfen. Eine Klärung dieser Frage kann an dieser Stelle jedoch unterbleiben.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