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D-4407/2015 vom 8. April 2016</w:t>
      </w:r>
    </w:p>
    <w:p>
      <w:r>
        <w:t>Bundesverwaltungsgericht, 2016-04-08, DE</w:t>
      </w:r>
    </w:p>
    <w:p>
      <w:r>
        <w:rPr>
          <w:b/>
        </w:rPr>
        <w:t xml:space="preserve">Quelle: </w:t>
      </w:r>
      <w:r>
        <w:t>https://mcp.opencaselaw.ch/entscheid/bvger_D-4407_2015</w:t>
      </w:r>
    </w:p>
    <w:p>
      <w:r>
        <w:t>FR: TAF D-4407/2015 du 8 avril 2016</w:t>
      </w:r>
    </w:p>
    <w:p>
      <w:r>
        <w:t>IT: TAF D-4407/2015 del 8 aprile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Auf die frist- und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Ein Asylgesuch konnte gemäss aArt. 19 AsylG im Ausland bei einer schweizerischen Vertretung gestellt werden, die es an das Bundesamt respektive Staatssekretariat überwies (aArt. 20 Abs. 1 AsylG). Hinsichtlich des Verfahrens sah aArt. 10 Abs. 1 der Asylverordnung 1 vom 11. August 1999 über Verfahrensfragen (AsylV 1, SR 142.311) vor, dass die schweizerische Vertretung mit der asylsuchenden Person in der Regel eine Befragung durchführt. War dies nicht möglich, waren die Asylgründe schriftlich festzuhalten (aArt. 10 Abs. 2 AsylV 1). Der Verzicht auf eine Befragung im Ausland ist in der Verfügung zu begründen (vgl. BVGE 2007/30 E. 5.7 f.).</w:t>
      </w:r>
    </w:p>
    <w:p>
      <w:r>
        <w:rPr>
          <w:b/>
        </w:rPr>
        <w:t>E. 4.2</w:t>
      </w:r>
    </w:p>
    <w:p>
      <w:r>
        <w:t>Vorliegend wurde die Beschwerdeführerin durch die schweizerische Vertretung in B._______ befragt. Zudem legte sie ihre Asylgründe in mehreren Eingaben schriftlich dar. Den verfahrensrechtlichen Anforderungen von aArt. 10 AsylV 1 wurde damit Genüge getan.</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Das SEM kann ein im Ausland gestelltes Asylgesuch ablehnen, wenn die asylsuchende Person keine Verfolgung glaubhaft machen oder ihr die Aufnahme in einem Drittstaat zugemutet werden kann (Art. 3, Art. 7 und aArt. 52 Abs. 2 AsylG). Gemäss aArt. 20 Abs. 2 AsylG bewilligt das SEM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aktuelle Gefährdung im Sinne von Art. 3 AsylG glaubhaft gemacht wird und ob der Verbleib am Aufenthaltsort für die Dauer der Sachverhaltsabklärung zugemutet werden kann (vgl. BVGE 2011/10 E. 3.3. und E. 5.1).</w:t>
      </w:r>
    </w:p>
    <w:p>
      <w:r>
        <w:rPr>
          <w:b/>
        </w:rPr>
        <w:t>E. 6.1</w:t>
      </w:r>
    </w:p>
    <w:p>
      <w:r>
        <w:t>Das Bundesverwaltungsgericht gelangt nach Prüfung der Akten zum Schluss, dass vorliegend die Voraussetzungen für die Erteilung einer Einreisebewilligung nicht erfüllt sind. Die entsprechenden Ausführungen in der angefochtenen Verfügung, wonach es an der Schutzbedürftigkeit aufgrund einer akuten Gefährdung der Beschwerdeführerin im Sinne von Art. 3 AsylG fehle, erweisen sich als zutreffend. Die Beschwerdevorbringen sind nicht geeignet, eine Änderung der vorinstanzlichen Einschätzung zu bewirken. Während des langjährigen Bürgerkriegs war die allgemeine Situation für Tamilen insbesondere im Norden und Osten Sri Lankas sehr schwierig und es gab eine Vielzahl von Gewaltereignissen. Die Bewilligung der Einreise dient jedoch nicht dem Ausgleich vergangenen Unrechts, sondern bezweckt vielmehr den Schutz vor aktueller asylrechtlich relevanter Verfolgung. Die Zwangsrekrutierung der Beschwerdeführerin durch die LTTE im Schulalter und die vor zwanzig Jahren erlittene Verletzung sind daher im heutigen Zeitpunkt nicht mehr einreiserelevant. Die im Zusammenhang mit der Bürgerkriegssituation erlassenen "Emergency Regulations" wurden Ende August 2011 aufgehoben. Seither hat sich die allgemeine Lage in Sri Lanka wesentlich verändert. Konkrete Anhaltspunkte, dass die Beschwerdeführerin aufgrund der zwei Jahrzehnte zurückliegenden (Zwangs-)Zugehörigkeit und Tätigkeit für die LTTE im heutigen Zeitpunkt in Sri Lanka ernstzunehmende beziehungsweise in flüchtlingsrechtlicher Hinsicht relevante Schwierigkeiten mit den heimatlichen Behörden zu befürchten hat, sind den Akten nicht zu entnehmen. Die Beschwerdeführerin ist gemäss eigenen Angaben im Jahr (...) zu ihrer Familie nach C._______ zurückgekehrt und ist seither weder in ein Rehabilitationscamp verbracht noch festgenommen worden. Konkrete Anhaltspunkte, dass ihr, die (...) versehrt sei und in erfolgten Befragungen gesagt habe, dass sie sich nicht an die Namen von LTTE-Angehörigen zu erinnern vermöge, im heutigen Zeitpunkt - (...) Jahre nach der Rückkehr nach C._______ - staatliche Verfolgungsmassnahmen asylrechtlich relevanten Ausmasses drohen sollten, sind nicht ersichtlich. Zwar soll nicht in Abrede gestellt werden, dass die vorgebrachten Befragungen und verbalen Einschüchterungen und Drohungen für die Beschwerdeführerin und ihre Familienangehörigen belastend sind, aber sie vermögen keine asylrechtlich relevante Verfolgung im Sinne von Art. 3 AsylG respektive eine unmittelbare und konkrete Gefährdung der Beschwerdeführerin zu begründen. Das Gericht stellt die schwierigen Lebensumstände der gesundheitlich beeinträchtigten Beschwerdeführerin nicht in Abrede, jedoch vermögen entsprechende humanitäre Überlegungen praxisgemäss keinen ausreichenden Grund für eine Bewilligung der Einreise darzustellen. Hinsichtlich der vorgebrachten Angst vor sexuellen Übergriffen und Belästigungen ist festzustellen, dass sich nach dem Bürgerkriegsende im Zusammenhang mit der Militärpräsenz im Norden Sri Lankas insbesondere Frauen, die allein einen Haushalt führen, vermehrt sexuellen Belästigungen und weiteren Diskriminierungen, auch durch Sicherheitskräfte, ausgesetzt sehen. Wie das SEM aber zutreffend ausgeführt hat, existieren in Sri Lanka nebst den staatlichen Strafverfolgungsbehörden, die angezeigte Übergriffe und Drohungen ahnden, weitere Institutionen wie das Ministerium für kinder- und frauenspezifische Angelegenheiten und das dem Polizeidepartement angegliederte Büro für die Prävention des Missbrauchs von Kindern, Jugendlichen und Frauen, an die sich betroffene Frauen wenden können. Zudem setzen sich in Sri Lanka zahlreiche nichtstaatliche Institutionen für Frauenbelange ein. Insgesamt engagieren sich über achtzig Organisationen für die Gleichberechtigung und den Schutz der Frauen, wovon knapp neunzig Prozent lokale Nichtregierungsorganisationen sind (vgl. hierzu das Themenpapier "Sri Lanka: Situation der Frauen" der Schweizerischen Flüchtlingshilfe vom 28. März 2013 sowie [...]). Der Beschwerdeführerin kann es zugemutet werden, sich erforderlichenfalls zwecks Schutzsuche an eine dieser staatlichen oder nichtstaatlichen Institutionen zu wenden.</w:t>
      </w:r>
    </w:p>
    <w:p>
      <w:r>
        <w:rPr>
          <w:b/>
        </w:rPr>
        <w:t>E. 6.2</w:t>
      </w:r>
    </w:p>
    <w:p>
      <w:r>
        <w:t>Aufgrund des Gesagten vermochte die Beschwerdeführerin nicht darzulegen, dass sie im gegenwärtigen Zeitpunkt konkret und unmittelbar an Leib und Leben gefährdet wäre. Das SEM hat die Einreise der Beschwerdeführerin in die Schweiz daher zutreffend verweigert und das Asylgesuch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der Beschwerdeführerin aufzuerlegen (Art. 63 Abs. 1 VwVG). Aus verwaltungsökonomischen Gründen sowie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