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D-4407/2006 vom 23. November 2009</w:t>
      </w:r>
    </w:p>
    <w:p>
      <w:r>
        <w:t>Bundesverwaltungsgericht, 2009-11-23, DE</w:t>
      </w:r>
    </w:p>
    <w:p>
      <w:r>
        <w:rPr>
          <w:b/>
        </w:rPr>
        <w:t xml:space="preserve">Quelle: </w:t>
      </w:r>
      <w:r>
        <w:t>https://mcp.opencaselaw.ch/entscheid/bvger_D-4407_2006</w:t>
      </w:r>
    </w:p>
    <w:p>
      <w:r>
        <w:t>FR: TAF D-4407/2006 du 23 novembre 2009</w:t>
      </w:r>
    </w:p>
    <w:p>
      <w:r>
        <w:t>IT: TAF D-4407/2006 del 23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des Beschwerdeführers würden den Anforderungen an die Glaubhaftigkeit gemäss Art. 7 AsylG nicht standhalten, so dass ihre Asylrelevanz nicht geprüft werden müsse.</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genehmigt hat und sich deshalb seine Aussagen grundsätzlich entgegenhalten lassen muss.</w:t>
      </w:r>
    </w:p>
    <w:p>
      <w:r>
        <w:rPr>
          <w:b/>
        </w:rPr>
        <w:t>E. 4.4</w:t>
      </w:r>
    </w:p>
    <w:p>
      <w:r>
        <w:t>Übereinstimmend mit der Vorinstanz ist festzuhalten, dass die Aussagen des Beschwerdeführers bezüglich des Angriffs der Rebellen auf Man wenig detailliert und unsubstanziiert ausgefallen sind (act. A 10/15, S. 8, 10). Da sich der Beschwerdeführer während des Angriffs der Rebellen in Man aufgehalten haben will, wäre zu erwarten gewesen, dass er ausführlicher und detaillierter über den Angriff hätte berichten können. Dies umso mehr, als er sich vom Haus seiner Tante, wo er sich aufgehalten habe, durch die Stadt zu seinem Haus begeben haben will. Auch bezüglich der angeblichen Tötung seiner Mutter ist festzustellen, dass den diesbezüglichen Vorbringen des Beschwerdeführers die erforderlichen Realkennzeichen einer Erzählung fehlen. Namentlich ist den Äusserungen des Beschwerdeführers weder persönliche Betroffenheit noch der erforderliche Detailreichtum einer auf tatsächlich erlebten Ereignissen basierenden Schilderung zu entnehmen. An dieser Einschätzung vermögen auch die Vorbringen des Beschwerdeführers in der Rechtsmittelschrift nichts zu ändern. Für die Unglaubhaftigkeit der Vorbringen des Beschwerdeführers spricht zudem seine Aussage, wonach der Angriff auf Man am 30. November 2002 durch die MPCI durchgeführt worden sei (act. A 1/10, S. 4). Nach gesicherten Erkenntnissen des Bundesverwaltungsgerichts wurde Man jedoch am 28. November 2002 von zwei anderen Rebellengruppen angegriffen. Die Tatsache, dass der Beschwerdeführer sowohl bezüglich des Datums des Angriffs als auch hinsichtlich der angreifenden Rebellengruppe unzutreffende Angaben geltend machte, lässt darauf schliessen, dass er sich zum Zeitpunkt des Angriffs gar nicht in Man aufgehalten hat. Daran vermag auch die Behauptung des Beschwerdeführers nichts zu ändern, wonach er nach Verlassen seines Heimatlandes über das Radio bezüglich der Urheber des Angriffs falsch informiert worden sei (act. A 10/15, S. 10), ist doch davon auszugehen, dass er noch vor Ort erfahren hätte, wer die Angreifer gewesen sind, sofern er sich zum Zeitpunkt des Angriffs tatsächlich in Man aufgehalten hätte. Gemäss eigenen Angaben war der Beschwerdeführer lediglich ein einfaches Mitglied der UDPCI (act. A 1/10, S. 5). Daher ist es unwahrscheinlich, dass er aufgrund seiner Mitgliedschaft in dieser Partei in der Côte d'Ivoire eine Verfolgung zu befürchten hat, wie das von ihm anlässlich der Befragungen sinngemäss vorgebracht wurde. Gegen eine Verfolgung des Beschwerdeführers aufgrund seiner politischen Tätigkeiten spricht auch seine Aussage anlässlich der Anhörung, wonach er aufgrund seiner politischen Aktivitäten in seinem Heimatland bisher keine Probleme gehabt habe (act. A 10/15, S. 9). Schliesslich ist festzustellen, dass der Beschwerdeführer bezüglich seiner Reise in die Schweiz unglaubhafte Angaben gemacht hat, was seine Glaubwürdigkeit generell in Frage stellt (vgl. EMARK 1998 Nr. 17 S. 150). So kann insbesondere nicht geglaubt werden, dass er beim Verlassen des Schiffes in Marseille nicht kontrolliert worden sein soll (act. A 10/15, S. 6). Ebenfalls realitätsfremd ist, dass er nichts für seine Reise in die Schweiz habe bezahlen müssen, da fremde Leute für ihn bezahlt hätten (act. A 10/15, S. 8).</w:t>
      </w:r>
    </w:p>
    <w:p>
      <w:r>
        <w:rPr>
          <w:b/>
        </w:rPr>
        <w:t>E. 4.5</w:t>
      </w:r>
    </w:p>
    <w:p>
      <w:r>
        <w:t>Daher ist zusammenfassend festzuhalten, dass die Vorbringen des Beschwerdeführers, wonach seine Mutter bei einem Angriff der Rebellen am 30. November 2002 in Man getötet worden sei, weswegen er Angst von den Rebellen bekommen und sein Heimatland verlassen habe, als nicht glaubhaft im Sinne von Art. 7 AsylG zu erachten sind.</w:t>
      </w:r>
    </w:p>
    <w:p>
      <w:r>
        <w:rPr>
          <w:b/>
        </w:rPr>
        <w:t>E. 5</w:t>
      </w:r>
    </w:p>
    <w:p>
      <w:r>
        <w:t>Nach dem Gesagten kann darauf verzichtet werden, auf die weiteren Ausführungen in der Beschwerde respektive den nachfolgenden Eingaben des Beschwerdeführers sowie die eingereichten Beweismittel einzugehen, weil sie am Ergebnis nichts ändern. Unter Berücksichtigung der gesamten Umstände folgt, dass der Beschwerdeführer keine Gründe nach Art. 3 AsylG nachweisen oder glaubhaft machen konnte. Das Bundesamt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Côte d'Ivoire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dem Beschwerdeführer nicht gelungen. Auch die allgemeine Menschenrechtssituation in der Côte d'Ivoire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ist im Urteil D-4477/2006 vom 28. Januar 2008 aufgrund einer umfassenden Beurteilung der Situation in der Côte d'Ivoire zum Schluss gekommen, dass dort keine Kriegs- oder Bürgerkriegssituation und auch keine Situation allgemeiner Gewalt herrsche, so dass eine Rückführung dorthin als nicht generell unzumutbar betrachtet werden müsse. Zusammenfassend wurde im erwähnten Entscheid festgehalten, dass die Rückkehr nach Abidjan in der Regel für alleinstehende, gesunde und junge Männer, wenn sie bereits vor ihrer Ausreise dort gelebt haben oder aber dort über ein familiäres Netz verfügen, als zumutbar zu erachteten sei. Bei Personen, die aus dem Westen oder dem Norden des Landes stammen und über keine Beziehungen zu Abidjan verfügen, müsse jedoch in jedem Einzelfall eine detailliertere Analyse der Situation der Region aus der sie stammen und auch ihrer individuellen Situation durchgeführt werden (vgl. a.a.O. E. 8.2 und 8.3).</w:t>
      </w:r>
    </w:p>
    <w:p>
      <w:r>
        <w:rPr>
          <w:b/>
        </w:rPr>
        <w:t>E. 7.3.3</w:t>
      </w:r>
    </w:p>
    <w:p>
      <w:r>
        <w:t>Gemäss eigenen Angaben stammt der Beschwerdeführer aus Man, wo er ab dem Jahre 2000 bis zu seiner Ausreise aus seinem Heimatland auch gelebt hat. Anlässlich der Anhörung gab der Beschwerdeführer zu Protokoll, dass sein Bruder in Abidjan wohne (act. A 10/15, S. 3). Aus dem Schreiben des Beschwerdeführers vom 30. Oktober 2009 ist ersichtlich, dass sein Bruder nach wie vor dort lebt und der Beschwerdeführer mit ihm in Kontakt steht. Somit verfügt der Beschwerdeführer in Abidjan über ein familiäres Beziehungsnetz, weshalb die in E. 7.3.2 erwähnte, sich auf Abidjan beziehende Rechtsprechung auch auf den Beschwerdeführer angewendet werden kann, weswegen seine Rückkehr - falls keine individuellen Gründe gegen eine Rückkehr sprechen - grundsätzlich als zumutbar zu erachten ist, zumal davon ausgegangen werden kann, dass ihn sein Bruder bei seiner Rückkehr bei Bedarf unterstützen könnte. Im Übrigen hat der Beschwerdeführer den Behörden in F._______ ein "certificat de nationalité ivoirienne" eingereicht, gemäss welchem er zwar in Man geboren jedoch in Abidjan wohnhaft (gewesen) ist. Beim Beschwerdeführer handelt es sich um einen 34-jährigen, alleinstehenden und - soweit aktenkundig - gesunden Mann, der fast sein ganzes Leben in der Côte d'Ivoire verbracht hat. Zudem spricht er neben Yacouba gut Französisch und verfügt über mehrjährige Arbeitserfahrung in der Landwirtschaft beziehungsweise als Küchenhilfe, weshalb davon auszugehen ist, dass er in der Lage sein wird, sich in seiner Heimat eine wirtschaftliche Existenzgrundlage zu erarbeiten. Dies umso mehr, als er auf die Hilfe und Unterstützung seines in Abidjan lebenden Bruders zurückgreifen kann. Überdies ist zu berücksichtigen, dass der Beschwerdeführer die Möglichkeit hat, bei der zuständigen Stelle Rückkehrhilfe zu beantragen. Allfällige Integrationsbemühungen seitens des Beschwerdeführers in der Schweiz können im vorliegenden Verfahren nicht berücksichtigt werden. Sodann ist festzuhalten,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Nach dem Gesagten ist zusammenfassend festzustellen, dass keine konkreten Hinweise dafür bestehen, der Beschwerdeführer würde bei einer Rückkehr in sein Heimatland, insbesondere nach Abidjan, in eine existenzielle Notlage geraten. Der Vollzug der Wegweisung erweist sich daher insgesamt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vom 11. März 2005 wurde das Gesuch des Beschwerdeführers um Gewährung der unentgeltlichen Rechtspflege gutgeheissen, weshalb keine Verfahrenskosten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