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D-4400/2016 vom 15. März 2017</w:t>
      </w:r>
    </w:p>
    <w:p>
      <w:r>
        <w:t>Bundesverwaltungsgericht, 2017-03-15, IT</w:t>
      </w:r>
    </w:p>
    <w:p>
      <w:r>
        <w:rPr>
          <w:b/>
        </w:rPr>
        <w:t xml:space="preserve">Quelle: </w:t>
      </w:r>
      <w:r>
        <w:t>https://mcp.opencaselaw.ch/entscheid/bvger_D-4400_2016</w:t>
      </w:r>
    </w:p>
    <w:p>
      <w:r>
        <w:t>FR: TAF D-4400/2016 du 15 mars 2017</w:t>
      </w:r>
    </w:p>
    <w:p>
      <w:r>
        <w:t>IT: TAF D-4400/2016 del 15 marzo 2017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processDispositivuali, di CHF 600.-, sono poste a carico del ricorrente. Esse sono prelevate sull'anticipo spese versato il 13 ottobre 2016.</w:t>
      </w:r>
    </w:p>
    <w:p>
      <w:r>
        <w:rPr>
          <w:b/>
        </w:rPr>
        <w:t>E. 3</w:t>
      </w:r>
    </w:p>
    <w:p>
      <w:r>
        <w:t>Questa sentenza è comunicata al ricorrente, alla SEM e all'autorità cantonale competente. Il presidente del collegio: Il cancelliere: Daniele Cattaneo Lorenzo Rapelli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