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D-4399/2009 vom 3. Februar 2010</w:t>
      </w:r>
    </w:p>
    <w:p>
      <w:r>
        <w:t>Bundesverwaltungsgericht, 2010-02-03, DE</w:t>
      </w:r>
    </w:p>
    <w:p>
      <w:r>
        <w:rPr>
          <w:b/>
        </w:rPr>
        <w:t xml:space="preserve">Quelle: </w:t>
      </w:r>
      <w:r>
        <w:t>https://mcp.opencaselaw.ch/entscheid/bvger_D-4399_2009</w:t>
      </w:r>
    </w:p>
    <w:p>
      <w:r>
        <w:t>FR: TAF D-4399/2009 du 3 février 2010</w:t>
      </w:r>
    </w:p>
    <w:p>
      <w:r>
        <w:t>IT: TAF D-4399/2009 del 3 febbraio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Art.105 AsylG i.V.m. Art. 37 VGG und Art. 52 VwVG). Der Beschwerdeführer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Vorbringen in der Rechtsmitteleingabe vom 7. Juli 2009 (Poststempel 8. Juli 2009) sind nicht geeignet, eine Änderung der vorinstanzlichen Verfügung zu bewirken. Der Argumentation des BFM werden keine stichhaltigen und substanziierten Gründen entgegengesetzt. Eine diesbezügliche Auseinandersetzung unterbleibt zwar nicht gänzlich. Die Ausführungen des Beschwerdeführers vermögen jedoch die Erwägungen des BFM nicht umzustossen. Für das Bundesverwaltungsgericht besteht nach Überprüfung der Akten keine Veranlassung, die Erwägungen des Bundesamtes zu beanstanden. Um Wiederholungen zu vermeiden, kann daher auf die zutreffenden Ausführungen in der angefochtenen Verfügung verwiesen werden. Demnach ist die Argumentation der Vorinstanz zu bestätigen, wonach die Vorbringen des Beschwerdeführers zu seinen Vorfluchtgründen unglaubhaft sind, der Beschwerdeführer jedoch die Flüchtlingseigenschaft gemäss Art. 3 AsylG erfüllt.</w:t>
      </w:r>
    </w:p>
    <w:p>
      <w:r>
        <w:rPr>
          <w:b/>
        </w:rPr>
        <w:t>E. 5.2</w:t>
      </w:r>
    </w:p>
    <w:p>
      <w:r>
        <w:t>Aufgrund der vorstehenden Erwägungen erübrigt es sich, auf die weiteren Ausführungen in der Eingabe des Beschwerdeführers im Einzelnen einzugehen, da sie am Ergebnis der vorgenommenen Würdigung nichts zu ändern vermögen. Das Bundesamt hat das Asylgesuch des Beschwerdeführers demnach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Das BFM hat den Beschwerdeführer in der angefochtenen Verfügung vom 8. Juni 2009 wegen Unzulässigkeit des Vollzugs der Wegweisung vorläufig aufgenommen. Diese Anordnung ist nach dem oben angeführten Erwägungen zu bestätigen.</w:t>
      </w:r>
    </w:p>
    <w:p>
      <w:r>
        <w:rPr>
          <w:b/>
        </w:rPr>
        <w:t>E. 8</w:t>
      </w:r>
    </w:p>
    <w:p>
      <w:r>
        <w:t>Aus diesen Erwägungen ergibt sich, dass die angefochtene Verfügung Bundesrecht nicht verletzt, den rechtserheblichen Sachverhalt richtig und vollständig feststellt und angemessen ist (vgl. Art. 106 AsylG). Die Beschwerde ist nach dem Gesagten abzuweisen.</w:t>
      </w:r>
    </w:p>
    <w:p>
      <w:r>
        <w:rPr>
          <w:b/>
        </w:rPr>
        <w:t>E. 9</w:t>
      </w:r>
    </w:p>
    <w:p>
      <w:r>
        <w:t>Bei diesem Ausgang des Verfahrens sind die Kosten dem Beschwerdeführer aufzuerlegen (Art. 63 Abs. 1 und 5 VwVG) und auf insgesamt Fr. 600.-- festzusetzen (Art. 1-3 des Reglements vom 21. Februar 2008 über die Kosten und Entschädigungen vor dem Bundesverwaltungsgericht [VGKE, SR 173.320.2]) und mit dem am 17. August 2009 geleisteten Kostenvorschuss in derselben Höhe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