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D-4399/2008 vom 30. August 2011</w:t>
      </w:r>
    </w:p>
    <w:p>
      <w:r>
        <w:t>Bundesverwaltungsgericht, 2011-08-30, FR</w:t>
      </w:r>
    </w:p>
    <w:p>
      <w:r>
        <w:rPr>
          <w:b/>
        </w:rPr>
        <w:t xml:space="preserve">Quelle: </w:t>
      </w:r>
      <w:r>
        <w:t>https://mcp.opencaselaw.ch/entscheid/bvger_D-4399_2008</w:t>
      </w:r>
    </w:p>
    <w:p>
      <w:r>
        <w:t>FR: TAF D-4399/2008 du 30 août 2011</w:t>
      </w:r>
    </w:p>
    <w:p>
      <w:r>
        <w:t>IT: TAF D-4399/2008 del 30 agosto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recourant a qualité pour recourir (cf. art. 48 al. 1 PA). Présenté dans la forme et dans le délai prescrit par la loi, le recours est recevable (cf. art. 52 al. 1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déclarations de A._______ manquent de logique, de cohérence et de constance sur des points essentiels du récit. Il est en effet difficilement concevable que des agents de sécurité aient confié, sans surveillance, à une personne étrangère à leurs services, des films ayant contenu hautement compromettant pour leurs patrons. L'intéressé a d'ailleurs lui-même précisé que lorsqu'il développait des films "très particuliers", ce qui était manifestement le cas, les agents restaient pendant qu'il faisait le travail et emmenaient ensuite immédiatement le matériel (cf. procès-verbal de l'audition du 7 décembre 2007, p. 4). Demeure par ailleurs inexpliquée la raison pour laquelle le recourant n'a pas révélé, lors de ses auditions, le contenu des deux films développés, alors que des questions précises lui ont été posées à ce sujet et qu'il s'agissait pour lui de démontrer, au travers de ses réponses, le bien fondé de son besoin de protection. A._______ s'est en effet limité à affirmer que les photographies avaient été prises lors de fêtes privées des services de sécurité, des Américains y apparaissant (cf. procès-verbal de l'audition du 7 décembre 2007, p. 4). A aucun moment, contrairement à ce qu'il a affirmé dans son recours, il n'a parlé d'images impliquant les dirigeants du parti au pouvoir et de scandale d'ordre sexuel, alors qu'il était en mesure de le faire. Enfin, et surtout, il ressort clairement des propos tenus au cours des auditions que le film endommagé a été restitué à l'agent de sécurité lorsqu'il est venu emporter les films et les photographies, peu de temps après leur dépôt au laboratoire (cf. procès-verbal de l'audition du 7 décembre 2007, p. 3). L'intéressé n'aurait ainsi été arrêté et interrogé que pour fournir des explications sur les circonstances de la destruction du film litigieux (cf. procès-verbal de l'audition du 7 décembre 2007, p. 7). Or, dans son recours, A._______ affirme que ce film n'a pas été rendu aux services de sécurité, d'où l'enquête menée à son encontre (cf. mémoire de recours, p. 3). Il confirme cette version dans sa réplique du 27 août 2008 (en page 1). Cette grossière contradiction, sur le point crucial du récit de l'intéressé, associée aux constats qui précèdent, suffit à mettre en doute les motifs d'asile allégués, ceux-ci ne satisfaisant donc pas aux exigences de vraisemblance de l'art. 7 LAsi.</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public,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6.5</w:t>
      </w:r>
    </w:p>
    <w:p>
      <w:r>
        <w:t>En l'occurrence, l'intéressé n'a pas démontré en ce qui le concerne l'existence d'un risque de violation de l'art. 3 CEDH (cf. consid. 3 ci-dessus).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Dans un arrêt toujours d'actualité, le Tribunal a considéré que l'exécution du renvoi dans les trois provinces kurdes du nord de l'Irak (Dohuk, Erbil et Suleimaniya) était raisonnablement exigible, à condition que l'intéressé soit originaire de l'une de ces provinces ou qu'il y ait vécu pendant une longue période, et qu'il y dispose d'un réseau social (famille, parenté ou amis) ou de liens avec les partis dominants (ATAF 2008/5 consid. 7.5 p. 75 ss).</w:t>
      </w:r>
    </w:p>
    <w:p>
      <w:r>
        <w:rPr>
          <w:b/>
        </w:rPr>
        <w:t>E. 7.3</w:t>
      </w:r>
    </w:p>
    <w:p>
      <w:r>
        <w:t>S'agissant de la situation personnelle de l'intéressé, le Tribunal observe qu'il est originaire de Kirkouk et qu'il appartient à la communauté kurde musulmane, dont il parle la langue. Il a travaillé à Suleimaniya de 1998 à 2005. Son père y était établi, comme lui semble-t-il, et possédait même un commerce. Il est ensuite, selon ses dires, retourné à Kirkouk, en septembre 2005, mais est reparti pour Suleimaniya, en mars 2006. Une de ses soeurs y est domiciliée et il y a lui-même résidé jusqu'à son départ du pays. A._______ a certes allégué qu'il avait perdu le droit à une autorisation de résidence et de travail dans la province du même nom. Il n'a toutefois en rien établi cet état de fait. Il est en outre jeune, célibataire, sans problèmes de santé allégués et dispose sur place d'un réseau familial et assurément d'un réseau social sur lesquels il pourra compter à son retour. 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La demande d'assistance judiciaire partielle ayant été admise,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