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D-4378/2006 vom 3. Februar 2010</w:t>
      </w:r>
    </w:p>
    <w:p>
      <w:r>
        <w:t>Bundesverwaltungsgericht, 2010-02-03, FR</w:t>
      </w:r>
    </w:p>
    <w:p>
      <w:r>
        <w:rPr>
          <w:b/>
        </w:rPr>
        <w:t xml:space="preserve">Quelle: </w:t>
      </w:r>
      <w:r>
        <w:t>https://mcp.opencaselaw.ch/entscheid/bvger_D-4378_2006</w:t>
      </w:r>
    </w:p>
    <w:p>
      <w:r>
        <w:t>FR: TAF D-4378/2006 du 3 février 2010</w:t>
      </w:r>
    </w:p>
    <w:p>
      <w:r>
        <w:t>IT: TAF D-4378/2006 del 3 febbraio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s'appuie par ailleurs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D-6607/2006 consid. 1.5 [et réf. cit.] du 27 avril 2009 et D-4474/2006 consid. 1.5 [et réf. cit.] du 10 mars 2009).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l'octroi de l'asile étaient remplies. Leur recours ne contient, sur ce point, ni arguments, ni moyens de preuve susceptibles de remettre en cause le bien-fondé de la décision querellée.</w:t>
      </w:r>
    </w:p>
    <w:p>
      <w:r>
        <w:rPr>
          <w:b/>
        </w:rPr>
        <w:t>E. 4.2</w:t>
      </w:r>
    </w:p>
    <w:p>
      <w:r>
        <w:t>Le Tribunal constate d'abord que les allégations déterminantes que les intéressés ont faites au cours de la procédure relative aux motifs qui les auraient incités à quitter leur pays, ne sont que de simples affirmations de leur part, qu'aucun élément concret et sérieux ne vient étayer. Par ailleurs, il juge que dites allégations ne remplissent pas les conditions de vraisemblance de l'art. 7 LAsi. En effet, il doute d'emblée que l'intéressé ait été désigné pour conduire un groupe de moudjahidines en Irak, compte tenu de son âge (...), du fait qu'il était dépourvu de toute compétence ou formation particulières le prédisposant à cette activité et que contrairement à ce qu'il soutient, il n'avait aucune connaissance particulière du terrain, n'étant plus retourné en Irak depuis (...). Il a bien fait valoir que son origine (...), le fait qu'il avait de la famille en Irak ainsi que sa connaissance de la langue kurde expliquaient le choix de ses dirigeants. Il n'est toutefois pas crédible que les autorités syriennes aient agi de la sorte, dans la mesure où, selon ses propres dires, il n'avait plus eu de contact avec sa famille en Irak depuis (...). De plus, on imagine mal les Kurdes ou les (...) de ce pays apportant leur aide à des moudjahidines syriens venus combattre la coalition, menée par les Etats-Unis, qui a mis un terme au régime de Saddam Hussein. Enfin, on ne voit pas comment les autorités syriennes auraient pu compter sur la loyauté de l'intéressé pour une mission aussi délicate en le torturant au préalable de la manière intense décrite. Comme relevé par l'ODM, il n'est pas non plus vraisemblable que l'intéressé ait attendu (...) avant de quitter son domicile, alors que l'officier des services secrets militaires l'avait averti qu'il disposait d'une semaine pour se rétablir et, qu'après ce délai, il serait exécuté s'il n'obéissait pas aux ordres. Le recourant a certes allégué qu'il avait eu besoin de temps pour convaincre son épouse et organiser son départ. A cet égard, à la lecture des auditions des intéressés, il paraît peu probable que le requérant ait demandé son avis à son épouse avant de quitter le pays. Ensuite, si l'on veut bien admettre que l'organisation du départ ait pris du temps, il n'en demeure pas moins que l'intéressé et sa famille pouvaient sans attendre quitter leur domicile pour se rendre dans un endroit provisoire plus sûr, en attendant de pouvoir fuir leur pays. Il n'est en outre pas crédible que les services secrets militaires syriens, qui ne sont pas particulièrement connus pour leur laxisme, n'aient pas exercé une surveillance de l'intéressé, laissant à ce dernier toute la latitude voulue pour organiser et financer son départ, notamment en vidant son compte en banque, sans rencontrer le moindre problème (cf. pv de l'audition du 5 janvier 2004, p. 19). Par ailleurs, à l'instar de l'ODM, on peut douter que les intéressés n'aient pas eu connaissance des fausses identités (...) sous lesquelles ils auraient prétendument voyagé. L'explication fournie dans le recours, selon laquelle ils auraient été dans l'impossibilité de mémoriser les données figurant dans leurs faux passeports, ceux-ci ne leur ayant été remis par le passeur qu'au dernier moment, n'est pas convaincante dès lors qu'ils ont précédemment passé la frontière (...) avec ces documents. Au surplus, s'agissant du passage de la frontière vers D._______, elle ne correspond pas à leurs précédentes déclarations, au cours desquelles l'intéressé a expressément déclaré que le passeur lui avait remis personnellement les passeports à leur arrivée sur le bateau (cf. pv de l'audition du 5 janvier 2003, p. 18). Les requérants avaient ainsi toute la traversée vers C._______, soit environ (...) heures (ibidem) pour en prendre connaissance et mémoriser leurs fausses identités.</w:t>
      </w:r>
    </w:p>
    <w:p>
      <w:r>
        <w:rPr>
          <w:b/>
        </w:rPr>
        <w:t>E. 4.3</w:t>
      </w:r>
    </w:p>
    <w:p>
      <w:r>
        <w:t>Les recourants ont certes produit un rapport médical, établi le 12 février 2007, duquel il ressort que les lésions somatiques et troubles psychologiques observés chez l'intéressé sont compatibles avec les sévices décrits (...). Cependant, ce rapport ne permet pas à lui seul d'établir la véracité des faits allégués ni, en particulier, d'établir avec suffisamment de certitude l'origine exacte et réelle des séquelles tant physiques que psychiques constatées. Dans ces conditions, il convient d'examiner ce rapport à la lumière de l'ensemble des circonstances. Or, à cet égard, il ne permet pas de contrebalancer les éléments d'invraisemblance relevés ci-dessus. Il ne saurait dès lors être considéré comme déterminant.</w:t>
      </w:r>
    </w:p>
    <w:p>
      <w:r>
        <w:rPr>
          <w:b/>
        </w:rPr>
        <w:t>E. 4.4</w:t>
      </w:r>
    </w:p>
    <w:p>
      <w:r>
        <w:t>Dans le cadre de leur recours, les intéressés ont par ailleurs fait valoir que leur fils risquait d'être persécuté en cas de retour dans son pays du fait qu'il ne s'était pas présenté au recrutement pour le service militaire. Force est d'abord de constater que cette crainte est purement théorique, dès lors que ce dernier est au bénéfice d'une autorisation de séjour en Suisse (permis B), de sorte que son renvoi en Syrie n'est pas d'actualité ni envisagé. Cela étant, il convient de rappeler que, de manière générale, la crainte de poursuites pénales pour insoumission (refus d'un civil d'accomplir ses obligations militaires et de se mettre à disposition des autorités militaires qui l'ont convoqué) ne constitue pas en soi une crainte objectivement fondée d'être victime de sérieux préjudices au sens de la définition de l'art. 3 LAsi (cf. Guide HCR, Genève 1992, ch. 167ss, p. 43ss; Samuel Werenfels, Der Begriff des Flüchtlings im schweizerischen Asylrecht, Berne 1987, p. 258). Exceptionnellement, la qualité de réfugié peut toutefois être accordée à un insoumis ou à un déserteur, lorsque celui-ci peut démontrer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(cf. JICRA 2004 n° 2, consid. 6b aa p. 16ss). Dans le cas présent, les recourants n'ont cependant apporté aucun élément précis et circonstancié à l'appui de leurs affirmations rendant vraisemblable que leur fils remplirait les conditions de la jurisprudence précitée pour l'octroi à titre exceptionnel de la qualité de réfugié.</w:t>
      </w:r>
    </w:p>
    <w:p>
      <w:r>
        <w:rPr>
          <w:b/>
        </w:rPr>
        <w:t>E. 4.5</w:t>
      </w:r>
    </w:p>
    <w:p>
      <w:r>
        <w:t>Il s'ensuit que le recours, en tant qu'il porte sur la reconnaissance de la qualité de réfugié et l'octroi de l'asile, doit être rejeté et le dispositif de la décision entreprise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en ce qui concerne les recourants, le Tribunal est tenu, de par la loi, de confirmer cette mesure.</w:t>
      </w:r>
    </w:p>
    <w:p>
      <w:r>
        <w:rPr>
          <w:b/>
        </w:rPr>
        <w:t>E. 5.3</w:t>
      </w:r>
    </w:p>
    <w:p>
      <w:r>
        <w:t>Par ailleurs, il prend acte que l'ODM, par décision du (...), a approuvé la délivrance par l'autorité cantonale compétente d'une autorisation de séjour (permis B) au fils des recourants, estimant que les conditions pour la reconnaissance d'un cas de rigueur grave au sens de l'art. 84 al. 5 LEtr étaient remplies, ce qui rend caduc le prononcé du renvoi à son encontre.</w:t>
      </w:r>
    </w:p>
    <w:p>
      <w:r>
        <w:rPr>
          <w:b/>
        </w:rPr>
        <w:t>E. 6.1</w:t>
      </w:r>
    </w:p>
    <w:p>
      <w:r>
        <w:t>L'exécution du renvoi est ordonnée si elle est possible, licite et raisonnablement exigible. En cas contraire, l'ODM règle les conditions de résidence conformément aux dispositions de la LEtr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(cf. dans ce sens JICRA 2006 n° 6 consid. 4.2. p. 54s., JICRA 2001 n° 1 consid. 6a p. 2).</w:t>
      </w:r>
    </w:p>
    <w:p>
      <w:r>
        <w:rPr>
          <w:b/>
        </w:rPr>
        <w:t>E. 6.3</w:t>
      </w:r>
    </w:p>
    <w:p>
      <w:r>
        <w:t>En l'occurrence, l'ODM, dans sa décision du 25 novembre 2005, a considéré que l'exécution du renvoi des intéressés n'était en l'état pas raisonnablement exigible et les a de ce fait admis provisoirement en Suisse. Le Tribunal prend donc acte de cette mesure de substitution à l'exécution du renvoi ordonnée par l'autorité de première instance,</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