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D-4377/2023 vom 11. Februar 2025</w:t>
      </w:r>
    </w:p>
    <w:p>
      <w:r>
        <w:t>Bundesverwaltungsgericht, 2025-02-11, DE</w:t>
      </w:r>
    </w:p>
    <w:p>
      <w:r>
        <w:rPr>
          <w:b/>
        </w:rPr>
        <w:t xml:space="preserve">Quelle: </w:t>
      </w:r>
      <w:r>
        <w:t>https://mcp.opencaselaw.ch/entscheid/bvger_D-4377_2023</w:t>
      </w:r>
    </w:p>
    <w:p>
      <w:r>
        <w:t>FR: TAF D-4377/2023 du 11 février 2025</w:t>
      </w:r>
    </w:p>
    <w:p>
      <w:r>
        <w:t>IT: TAF D-4377/2023 del 11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D-4377/2023 Seite 4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nach Leistung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D-4377/2023 Seite 5 sachen nicht entsprechen oder massgeblich auf gefälschte oder ver- fälschte Beweismittel abgestützt werden (Art. 7 AsylG).</w:t>
      </w:r>
    </w:p>
    <w:p>
      <w:r>
        <w:rPr>
          <w:b/>
        </w:rPr>
        <w:t>E. 5.1</w:t>
      </w:r>
    </w:p>
    <w:p>
      <w:r>
        <w:t>In der angefochtenen Verfügung führt die Vorinstanz aus, dass sich aus den Akten nicht ergebe, dass eine Verfolgung aus einem Motiv gemäss Art. 3 AsylG bestehe. Es seien mindestens zwei Verurteilungen wegen Be- trugs und ähnlicher Straftaten dokumentiert; diese seien aber gemeinrecht- licher Natur. Sofern die beschwerdeführerischen Schilderungen, wonach er durch die kriminelle Organisation, in deren Fänge er geraten sei, bedroht sei, zuträfen, seien keine Anhaltspunkte ersichtlich, dass der türkische Staat nicht schutzfähig und schutzwillig wäre, sollte der Beschwerdeführer mit den Sicherheitsbehörden kooperieren. So sei auch nicht ersichtlich, weshalb der Beschwerdeführer an einem Zeugenschutzprogramm nicht teilnehmen könne. Zu den drohenden Verurteilungen in der Türkei hält die Vorinstanz fest, dass die Verfolgung solcher gemeinrechtlicher Delikte im legitimen Interesse des türkischen Staates liege. Ausserdem sehe das tür- kische Strafgesetzbuch die Möglichkeit einer Strafminderung bei Reue vor. Die Schutzwilligkeit des türkischen Staates werde dadurch verdeutlicht, dass ein Anführer der vom Beschwerdeführer genannten kriminellen Orga- nisation auf Betreiben der Türkei hin über Interpol gesucht und schliesslich verhaftet worden sei. Soweit der Beschwerdeführer vorbringe, aufgrund seiner Wehrdienstverweigerung drohe ihm zusätzliche Verfolgung durch die türkischen Behörden, hält die Vorinstanz fest, dass dies keine flücht- lingsrechtlich relevante Verfolgung im Sinne von Art. 3 AsylG darstelle. In- folge des nicht geleisteten Militärdienstes habe der Beschwerdeführer mehrere Geldbussen erhalten, wobei es sich um ein Mittel zur Durchset- zung staatsbürgerlicher Pflichten handle, woraus sich keine Asylrelevanz ableite. Insgesamt erfülle der Beschwerdeführer die Flüchtlingseigenschaft daher nicht, weshalb sein Asylgesuch abzulehnen sei. Gegenüber dem Wahrheitsgehalt der Schilderungen des Beschwerdeführers führt die Vo- rinstanz einen Vorbehalt an, würdigt die Glaubhaftigkeit seiner Aussagen aber nicht im Einzelnen.</w:t>
      </w:r>
    </w:p>
    <w:p>
      <w:r>
        <w:rPr>
          <w:b/>
        </w:rPr>
        <w:t>E. 5.2</w:t>
      </w:r>
    </w:p>
    <w:p>
      <w:r>
        <w:t>In der Beschwerde wird vorgebracht, der Beschwerdeführer sei jahre- lang zur Zusammenarbeit mit einer mafiösen Organisation gezwungen worden, wobei ihn der Umstand von einer Anzeige abgehalten habe, dass der türkische Staat selbst auf diversen Hierarchiestufen mit solchen Orga- nisationen zusammenarbeite. In diesem Zusammenhang bringt der Be- schwerdeführer nebst diversen Medienberichten verschiedene Umstände vor, die aus seiner Sicht die Unterwanderung des türkischen Staates durch</w:t>
      </w:r>
    </w:p>
    <w:p>
      <w:r>
        <w:t>D-4377/2023 Seite 6 mafiöse Strukturen belegen: Die OECD Behörde Financial Action Task Force (FATF) habe die Türkei aufgrund mangelhafter Umsetzung von Emp- fehlungen im Bereich Geldwäscherei und Terrorismusfinanzierung auf eine «graue Liste» gesetzt, was die diesbezüglich schlechte internationale Re- putation der Türkei belege. Ausserdem habe das Internationale Suchtstoff- kontrollamt (INCB) die Bedeutung der Türkei als Transitland für Betäu- bungsmittel hervorgehoben und aus dem Global Organised Crime Index gehe hervor, dass die Türkei im Jahr 2021 weltweit den zwölften Platz für organisierte Kriminalität belege. Das Zeugenschutzprogramm habe der Beschwerdeführer nicht in Anspruch nehmen können, weil er von den Ban- denmitgliedern derart unter Druck gesetzt worden und deshalb extrem ver- ängstigt gewesen sei. Er habe in verschiedenen Städten gelebt und ver- schiedene Jobs ausgeübt, doch auch diese Massnahmen hätten nicht ge- reicht, um sich sicher zu fühlen. Er habe zudem nicht einmal die Hilfe eines Anwalts seiner Wahl in Anspruch nehmen können, da seine Anwälte stets von den Bandenmitgliedern ausgewählt worden seien. In einem Land, wel- ches das weltweit führende Zentrum der Geldwäscherei geworden sei und in welchem Banden geschützt würden, sei es für ihn nicht sicher, weshalb ihm Asyl zu gewähren sei.</w:t>
      </w:r>
    </w:p>
    <w:p>
      <w:r>
        <w:rPr>
          <w:b/>
        </w:rPr>
        <w:t>E. 6.1</w:t>
      </w:r>
    </w:p>
    <w:p>
      <w:r>
        <w:t>Die vom Beschwerdeführer behauptete allgemeine Kriminalität in der Türkei ist ungeeignet, die Flüchtlingseigenschaft zu begründen. Es ist nicht zu bestreiten, dass es in der Türkei – wie auch in anderen Ländern – Dro- genhandel in organisierten Strukturen gibt, doch vermögen die beigebrach- ten Nachrichtenmeldungen keine Zweifel hinsichtlich der Schutzfähigkeit und des Schutzwillens der Türkei gegenüber kriminellen Organisationen aufkommen zu lassen. Überdies kann der Beschwerdeführer keinen kon- kreten Bezug der von ihm zitierten Medienberichte zu seiner Person her- stellen. Insgesamt sind die Erwägungen der Vorinstanz zutreffend, dass der Beschwerdeführer nicht aufzeigen kann, dass die türkischen Behörden nicht in der Lage oder gewillt wären, ihn vor Bedrohungen durch Dritte zu schützen, wenn er diese Hilfe in Anspruch nehmen würde. In diesem Zu- sammenhang ist auch sein Argument, er habe das Zeugenschutzpro- gramm aufgrund seiner extremen Angst sowie aufgrund des Druckes, den die Bandenmitglieder auf ihn ausgeübt hätten, nicht in Anspruch genom- men, unbehelflich. Weiter sind gemäss der Aktenlage ausschliesslich ge- meinrechtliche Delikte Gegenstand der Strafverfolgung, der der Beschwer- deführer in der Türkei ausgesetzt sein dürfte, und es erschliesst sich nicht, inwiefern dies im Zusammenhang mit einem Verfolgungsmotiv im Sinne von Art. 3 AsylG stehen könnte. In der Begründung ist die vorinstanzliche</w:t>
      </w:r>
    </w:p>
    <w:p>
      <w:r>
        <w:t>D-4377/2023 Seite 7 Einschätzung insoweit in Frage zu stellen, als die Strafminderungsoption bei Reue gemäss türkischem Recht nicht ohne Weiteres für den Beschwer- deführer zu unterstellen ist. Dies führt im Ergebnis jedoch zu keiner ande- ren Einschätzung, da dem Beschwerdeführer gemeinrechtliche Delikte vor- geworfen werden und weder ein relativer (auf den Beschwerdeführer be- zogener) noch absoluter (die in der Türkei drohende Sanktion) Malus er- sichtlich ist. Ungeachtet der konkreten Ausgestaltung dieser Strafminde- rungsoption sind die Vorbringen des Beschwerdeführers nicht von flücht- lingsrechtlicher Relevanz. Schliesslich ist der Vorinstanz auch darin zu fol- gen, dass Geldbussen wegen Nichtleisten des Militärdienstes staatliche Massnahmen zur Durchsetzung staatsbürgerlicher Pflichten sind und als solche keine Asylrelevanz entfalten.</w:t>
      </w:r>
    </w:p>
    <w:p>
      <w:r>
        <w:rPr>
          <w:b/>
        </w:rPr>
        <w:t>E. 6.2</w:t>
      </w:r>
    </w:p>
    <w:p>
      <w:r>
        <w:t>Die Vorinstanz hat die Flüchtlingseigenschaft des Beschwerdeführers nach dem Gesagten zu Recht verneint und sein Asylgesuch folgerichtig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D-4377/2023 Seite 8</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w:t>
      </w:r>
    </w:p>
    <w:p>
      <w:r>
        <w:t>D-4377/2023 Seite 9 unzulässig erscheinen. Insbesondere vermögen nach dem oben Gesagten die vorgebrachte drohende Haftstrafe wie auch die befürchtete drohende Gefahr für Leib und Leben, sollte er gegen die Bandenmitglieder aussagen müssen, nichts an der Zulässigkeit der Wegweisung zu ändern.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versuchten Militärputsch im Juli 2016 ist gemäss konstanter Pra- xis des Bundesverwaltungsgerichts nicht von einer Situation allgemeiner Gewalt oder von bürgerkriegsähnlichen Verhältnissen in der Türkei– auch nicht für Angehörige kurdischer Ethnie – auszugehen (vgl. statt vieler Urteil des BVGer E-5618/2024 vom 20. Dezember 2024 E. 8.3.2. m.w.H.). Es ist aufgrund des Gesagten nicht von einer generellen Unzumutbarkeit des Vollzugs von Wegweisungen auszugehen (vgl. BVGE 2013/2 E. 9.6; Refe- renzurteil E-1948/2018 vom 12. Juni 2018 E. 7.3.1).</w:t>
      </w:r>
    </w:p>
    <w:p>
      <w:r>
        <w:rPr>
          <w:b/>
        </w:rPr>
        <w:t>E. 8.3.3</w:t>
      </w:r>
    </w:p>
    <w:p>
      <w:r>
        <w:t>In individueller Hinsicht hält die Vorinstanz in der angefochtenen Ver- fügung fest, der Beschwerdeführer sei jung, habe schon in verschiedenen Branchen Berufserfahrung sammeln können und verfüge über ein Fami- liennetz, das ihn bei seiner Rückkehr auch finanziell unterstützen könne. Eine Reintegration in der Türkei erscheine deshalb zumutbar. Aufgrund der Akten und seiner Angaben sei zudem nicht davon auszugehen, dass die vorgebrachten gesundheitlichen Leiden derart ernsthaft seien, dass eine Rückkehr zu einer konkreten Gefährdung für Leib und Leben führen würde. Zudem stehe es ihm offen, bei Bedarf eine entsprechende Behandlung in seinem Heimatstaat in Anspruch zu nehmen. Die medizinische Grundver- sorgung in der Türkei entspreche grundsätzlich westeuropäischen</w:t>
      </w:r>
    </w:p>
    <w:p>
      <w:r>
        <w:t>D-4377/2023 Seite 10 Standards. Dem wird in der Beschwerde nichts Wesentliches entgegenge- halten. Die vorinstanzlichen Erwägungen sind deshalb zu bestätigen.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für die Bezahlung der Verfahrenskosten zu verwenden.</w:t>
      </w:r>
    </w:p>
    <w:p>
      <w:r>
        <w:t>(Dispositiv nächste Seite)</w:t>
      </w:r>
    </w:p>
    <w:p>
      <w:r>
        <w:t>D-4377/2023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