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D-4377/2014 vom 5. Januar 2015</w:t>
      </w:r>
    </w:p>
    <w:p>
      <w:r>
        <w:t>Bundesverwaltungsgericht, 2015-01-05, DE</w:t>
      </w:r>
    </w:p>
    <w:p>
      <w:r>
        <w:rPr>
          <w:b/>
        </w:rPr>
        <w:t xml:space="preserve">Quelle: </w:t>
      </w:r>
      <w:r>
        <w:t>https://mcp.opencaselaw.ch/entscheid/bvger_D-4377_2014</w:t>
      </w:r>
    </w:p>
    <w:p>
      <w:r>
        <w:t>FR: TAF D-4377/2014 du 5 janvier 2015</w:t>
      </w:r>
    </w:p>
    <w:p>
      <w:r>
        <w:t>IT: TAF D-4377/2014 del 5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w:t>
      </w:r>
    </w:p>
    <w:p>
      <w:r>
        <w:t>Die Ansetzung einer Frist zur Beschwerdeergänzung im Zusammenhang mit der beantragten Aktenedition (Akten des Bruders respektive Onkels der Beschwerdeführe­renden) erübrigte sich vorliegend. So teilte das BFM den Beschwerdeführenden am 20. August 2014 mit, für die Offenlegung der besagten Akten sei die Nachreichung von dessen Einwilligungserklärung von Nöten. Diese Sichtweise ist nicht zu beanstanden. In der Folge verzichtete der Rechtsvertreter der Beschwerdeführenden aber offenbar auf eine solche Nachreichung, weshalb ihm die Akten nicht übermittelt wurden und insoweit auch kein Anlass für eine Beschwerdeergänzung bestand. Festzuhalten ist ohnehin, dass unter den gegebenen Umständen praxisgemäss kein Anspruch auf eine explizite Ansetzung einer Frist bestand. Ferner ersuchte der Rechtsvertreter das Gericht am 27. August 2014, mit dem Entscheid bis zum Eingang eines Arztberichts seiner Mandantin noch zuzuwarten. Diesbezüglich ist festzustellen, dass bis heute kein solcher Bericht einging.</w:t>
      </w:r>
    </w:p>
    <w:p>
      <w:r>
        <w:rPr>
          <w:b/>
        </w:rPr>
        <w:t>E. 4.1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Ihre Grenze findet die Untersuchungspflicht allerdings in der Mitwirkungspflicht des Asylsuchenden (vgl. Art. 8 AsylG).</w:t>
      </w:r>
    </w:p>
    <w:p>
      <w:r>
        <w:rPr>
          <w:b/>
        </w:rPr>
        <w:t>E. 4.2</w:t>
      </w:r>
    </w:p>
    <w:p>
      <w:r>
        <w:t>Die Beschwerdeführenden machen geltend, dass ihr Bruder respektive Onkel (N [...]) vom BFM als Flüchtling anerkannt und ihm Asyl ge­währt worden sei. Das BFM berücksichtige im vorliegenden Fall nicht, dass sich der Bruder in seinem Asylverfahren in wesentlichen Punkten auf die Asylgründe der Beschwerdeführerin abgestützt habe. Diese Argu­mentation überzeugt nicht, zumal der Bruder für sich im Wesentlichen an­dere Asylgründe geltend machte. Zudem gab die Beschwerdeführerin we­der anlässlich der Summarbefragung noch der Anhörung zu erkennen, dass sie behördliche Reflexverfolgung wegen dessen Flucht befürchte. Allein mit dem Hinweis auf die behördliche Gefährdung des Bruders war noch kein eigenes, reflexverfolgungsmässiges Risikoprofil dargetan respektive geltend gemacht worden. Insgesamt ist somit nicht nachvollziehbar, weshalb die syrischen Behörden aus­gerechnet gegen die Beschwerdeführerin im Falle ihrer Rückkehr reflexverfolgungsmässig vorgehen sollten. Entsprechend bestand für die Vorinstanz im Rahmen der Untersuchungsmaxime kein weiterer diesbezüglicher Abklärungsbedarf, weshalb die implizit beantragte Rückweisung an das BFM zur Sachverhaltsfeststellung und neuem Entscheid nicht in Betracht kommt. Auch wegen des Gesundheitszustandes der Beschwerdeführerin drängten sich keine weiteren Massnahmen auf. Zwar ist den Protokollen zu entnehmen, dass die Beschwerdeführerin mehrfach in Tränen ausbrach, insbesondere, wenn es um den Tod des Ehemannes ging, was angesichts der diesbezüglichen Ereignisse auch in keiner Weise erstaunt. Sie war offensichtlich in der Lage, die Gründe, welche sie zur Flucht bewogen haben zu nennen, und es ergeben sich keine Hinweise darauf, dass die Beschwerdeführerin aufgrund der Geschehnisse bezüglich ihres Ehemannes nicht hätte in der Lage sein sollen, nachvollziehbar über eine angebliche Bedrohung durch die Schwiegerfamilie oder die Organisation der Ausreise zu berichten. Diesbezüglich wird auch in der Beschwerde nichts Stichhaltiges dargetan. Die Vorinstanz hatte demnach keine Veranlassung, weitere Abklärung be­züglich der gesundheitlichen Verfassung der Beschwerdeführerin vorzunehmen.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hat die drohende Zwangsverheiratung der Beschwerdeführerin mit ihrem Schwager für nicht glaubhaft erachtet und erwogen, dass sie die damit einhergehenden Umstände völlig unsubstanziiert und ohne Realkennzeichen zu Protokoll gegeben habe. Auf Nachfragen sei sie nicht in der Lage gewesen, ihre angebliche Zwangslage zu präzisieren. Im Ergebnis sei es ihr nicht gelungen, im Zusammenhang mit dem Vorbringen der Zwangsheirat den Eindruck von tatsächlich Erlebtem oder Befürchtetem zu vermitteln. Diese Sichtweise vermag zu überzeugen, weshalb vorab auf die vorinstanzliche Verfügung mit den erwähnten Argu­menten verwiesen werden kann. Zwar brach die Beschwerdeführerin wie­derholt in Tränen aus und liess insbesondere erkennen, dass sie sehr um das Wohl der Kinder besorgt gewesen sei. Aber auch in der Beschwerde wird eingeräumt, dass sie sich nicht in jedem Punkt widerspruchsfrei äusserte. Entgegen der dortigen Sichtweise können diese Unglaubhaftig­keitselemente nicht auf ihre psychische Befindlichkeit zurückgeführt werden, da den Protokollen - wie bereits erwähnt - keine Äusserungs- oder Verständigungsschwierigkeiten entnommen werden können und sie in an­deren Bereichen wie insbesondere im Zusammenhang mit der Tötung ihres Gatten durchaus nachvollziehbare Schilderungen zu machen in der Lage war. Dass im syrischen Kontext die Zwangsverheiratung durchaus vorkommen kann, ist unbestritten. Auch kann nicht ausgeschlossen werden, dass die Schwiegerfamilie die Möglichkeit der Heirat mit dem Schwager zur Sicherung der Existenz der Beschwerdeführerin in Betracht gezogen hat. Hingegen ist es der Beschwerdeführerin nicht gelungen, einen entsprechenden Zwang oder eine ihr diesbezüglich konkret drohende Gefahr glaubhaft zu machen. Auch der Verweis in der Beschwerde, es sei üblich, dass die Familie des Vaters für die Kinder sorge und diese bei sich aufnehme, vermag an dieser Einschätzung nichts zu ändern, zumal sich daraus noch keine asylrechtlich relevante Bedrohung ableiten lässt. Insgesamt ist davon auszugehen, dass die Schwiegerfamilie mit der Ausreise der Beschwerdeführerin mit dem einen Bruder beziehungsweise deren Reise zum Bruder in die Schweiz durchaus einverstanden gewesen sein dürfte. So gab sie unter anderem auch zu Protokoll, zwar habe die Familie des Ehemannes bei ihrem Vater telefonisch nachgefragt, wo die Kinder seien, nun bestehen jedoch zwischen ihrer und der Familie des Schwagers kein Kontakt mehr, was gegen ernsthafte Bemühungen, ihrer Kinder habhaft zu werden, spricht (A 21/13 Antworten 82 f).</w:t>
      </w:r>
    </w:p>
    <w:p>
      <w:r>
        <w:rPr>
          <w:b/>
        </w:rPr>
        <w:t>E. 6.2</w:t>
      </w:r>
    </w:p>
    <w:p>
      <w:r>
        <w:t>Das BFM hat die Tötung des Ehemannes der Beschwerdeführerin als nicht zielgerichtete Verfolgung, sondern als generelles Kriegsgeschehen qualifiziert. Ob diese Qualifikation angesichts dessen, dass der Ehemann offenbar zwangsweise für die PKK tätig war und deshalb von einem Scharfschützen ins Visier genommen worden sei, zutrifft, kann an dieser Stelle offen bleiben. Die Beschwerdeführerin machte nämlich weder bei der Anhörung noch auf Rekursebene geltend, dieser Vorfall habe später asylrelevante Nachteile im Sinne einer auch gegen sie gerichteten Verfolgung mit sich gebracht (vgl. S. 9 der Beschwerdeschrift). Eine solche ist auch aufgrund der Akten nicht konkret erkennbar. Im Weiteren pflichtet der Rechtsvertreter dem BFM insofern bei, als den (...) betreffenden Rekrutierungsversuchen der PKK mangels Verfolgungsintensität keine Asylrelevanz zukomme, weshalb sich weitere diesbezügliche Erörterungen erübrigen.</w:t>
      </w:r>
    </w:p>
    <w:p>
      <w:r>
        <w:rPr>
          <w:b/>
        </w:rPr>
        <w:t>E. 6.3.1</w:t>
      </w:r>
    </w:p>
    <w:p>
      <w:r>
        <w:t>Eine erlittene Vorverfolgung ist ausnahmsweise auch nach Wegfall einer zukünftigen Verfolgungsgefahr im Sinne von Art. 3 AsylG als asylrechtlich relevant zu betrachten, wenn eine Rückkehr in den früheren Verfolgerstaat aus zwingenden, auf diese Verfolgung zurückgehenden Gründen nicht zumutbar ist. Als zwingende oder triftige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S. 380).</w:t>
      </w:r>
    </w:p>
    <w:p>
      <w:r>
        <w:rPr>
          <w:b/>
        </w:rPr>
        <w:t>E. 6.3.2</w:t>
      </w:r>
    </w:p>
    <w:p>
      <w:r>
        <w:t>In der Beschwerde werden solche zwingenden Gründe aufgrund der Traumatisierung der Beschwerdeführerin geltend gemacht. Gemäss vorstehenden Erwägungen konnte bei ihr aber keine asylrelevante Vorverfolgung festgestellt werden, weshalb die Annahme solcher Gründe - unbesehen der nicht belegten Traumatisierung - zum Vornherein nicht in Betracht kommt.</w:t>
      </w:r>
    </w:p>
    <w:p>
      <w:r>
        <w:rPr>
          <w:b/>
        </w:rPr>
        <w:t>E. 6.4</w:t>
      </w:r>
    </w:p>
    <w:p>
      <w:r>
        <w:t>Unter Berücksichtigung der gesamten Umstände folgt, dass die Be­schwerdeführenden keine Gründe nach Art. 3 AsylG nachweisen oder glaubhaft machen konnten. Die eingereichten Beweismittel führen zu keiner anderen Einschätzung. Die Vorinstanz hat die Flüchtlingseigenschaft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Die Beschwerdeführenden wurden vom BFM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Nachdem ihr Gesuch im Sinne von Art. 65 Abs. 1 VwVG mit Zwischenverfügung vom 13. August 2014 gutgeheissen wurde und sich ihre finanzielle Situation seither nicht entscheidwesentlich verändert hat, erfolgt keine Kostenauf­lage.</w:t>
      </w:r>
    </w:p>
    <w:p>
      <w:r>
        <w:rPr>
          <w:b/>
        </w:rPr>
        <w:t>E. 11</w:t>
      </w:r>
    </w:p>
    <w:p>
      <w:r>
        <w:t>Mit Zwischenverfügung vom 13. August 2014 wurde ausserdem das Ge­such um amtliche Verbeiständung gutgeheissen (Art. 110a Abs. 1 VwVG) und den Beschwerdeführenden der Rechtsvertreter als Rechtsbeistand zugeordnet. Dieser hat zwar keine Kostennote eingereicht, doch lässt sich der Aufwand zuverlässig abschätzen. Unter Berücksichtigung der massgebenden Bemessungsfaktoren (Art. 9-13 VGKE [SR 173.320.2]) ist ihm eine Entschädigung in der Höhe von Fr. 1'800.-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