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D-4374/2018 vom 1. April 2021</w:t>
      </w:r>
    </w:p>
    <w:p>
      <w:r>
        <w:t>Bundesverwaltungsgericht, 2021-04-01, FR</w:t>
      </w:r>
    </w:p>
    <w:p>
      <w:r>
        <w:rPr>
          <w:b/>
        </w:rPr>
        <w:t xml:space="preserve">Quelle: </w:t>
      </w:r>
      <w:r>
        <w:t>https://mcp.opencaselaw.ch/entscheid/bvger_D-4374_2018</w:t>
      </w:r>
    </w:p>
    <w:p>
      <w:r>
        <w:t>FR: TAF D-4374/2018 du 1 avril 2021</w:t>
      </w:r>
    </w:p>
    <w:p>
      <w:r>
        <w:t>IT: TAF D-4374/2018 del 1 aprile 2021</w:t>
      </w:r>
    </w:p>
    <w:p>
      <w:pPr>
        <w:pStyle w:val="Heading2"/>
      </w:pPr>
      <w:r>
        <w:t>Regeste</w:t>
      </w:r>
    </w:p>
    <w:p>
      <w:r>
        <w:t>Asile (sans exécution du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syrien dont l'intéressé cherche à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w:t>
      </w:r>
    </w:p>
    <w:p>
      <w:r>
        <w:rPr>
          <w:b/>
        </w:rPr>
        <w:t>E. 2</w:t>
      </w:r>
    </w:p>
    <w:p>
      <w:r>
        <w:t>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ainsi que des motifs d'empêchement à l'exécution du renvoi invoqués par le recourant, que ceux-ci soient d'ordre juridique ou pratique (voir à ce propos ATAF 2012/21 cité ci-dessus et Jurisprudence et informations de l'ancienne Commission suisse de recours en matière d'asile [JICRA] 1995 no 5 consid. 6a [et réf. cit.], toujours d'actualité).</w:t>
      </w:r>
    </w:p>
    <w:p>
      <w:r>
        <w:rPr>
          <w:b/>
        </w:rPr>
        <w:t>E. 3</w:t>
      </w:r>
    </w:p>
    <w:p>
      <w:r>
        <w:t>Le Tribunal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4</w:t>
      </w:r>
    </w:p>
    <w:p>
      <w:r>
        <w:t>Dans son recours, A._______ a notamment fait valoir deux griefs formels en invoquant une violation de son droit d'être entendu (art. 29 al. 2 Cst.) et un établissement inexact et incomplet de l'état de fait pertinent (art. 106 al. 1 let. b LAsi) pouvant, cas échéant, simultanément emporter la violation précitée du droit d'être entendu (cf. arrêt du Tribunal D-2516/2019 du 17 juin 2019 consid. 4.2 et réf. cit.). Dans la mesure où ils sont susceptibles d'entraîner l'annulation de la décision entreprise indépendamment des chances de succès du recours sur le fond, ces griefs doivent être examinés en premier lieu (cf. ATF 138 I 232 consid. 5.2 ; 137 I 195 consid. 2.2). En l'espèce, l'argumentation développée dans le mémoire du 30 juillet 2018 (cf. rubrique « motivation » ch. 1, p. 3 s.) laisse apparaître que le recourant critique l'appréciation par le SEM de ses allégués en se prévalant de motifs ressortissant uniquement au fond de la cause et non au droit d'être entendu proprement dit. En outre, la lecture du dossier révèle que l'autorité inférieure a correctement instruit et pris en compte tous les principaux éléments de fait invoqués par l'intéressé à l'appui de sa demande de protection, à savoir son ethnie kurde, son service militaire accompli en Syrie au début des années 2000, la mort de son frère au mois de février 2012 et les menaces ultérieures de services de sécurité syriens suite à ses tentatives d'enquête à ce sujet, sa participation aux manifestations contre le régime du président Bachar Al-Assad, les activités politiques de ses proches et les siennes propres pour le PYD, ainsi que la convocation militaire syrienne réceptionnée par son père avant son départ (cf. prononcé querellé, consid. I, ch. 2, p. 2). En l'absence de motivation idoine les étayant un tant soit peu substantiellement (voir à ce propos l'obligation de motiver l'acte de recours prévue à l'art. 52 al. 1 PA [1ère phr.], en particulier applicable aux griefs spécifiques présentés par le recourant ; cf. Patrick L. Krauskopf/Katrin Emmenegger/Fabio Barbey, in : Praxiskommentar zum Bundesgesetz über das Verwaltungsverfahren, 2e éd. 2016, art. 12 PA p. 264 s. no 59, avec réf. cit.), les deux griefs formels susmentionnés s'avèrent irrecevables, vu leur caractère purement appellatoire (cf. p. ex. arrêt B-4669/2013 du Tribunal du 30 octobre 2019 consid. 4.2.3 et réf. cit. ; ATF 2C_285/2017 [consid. 5.2 et 5.3] et 6B_220/2019 [consid. 2.3]).</w:t>
      </w:r>
    </w:p>
    <w:p>
      <w:r>
        <w:rPr>
          <w:b/>
        </w:rPr>
        <w:t>E. 5</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cf. également ATAF 2007/31 consid. 5.2 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6</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w:t>
      </w:r>
    </w:p>
    <w:p>
      <w:r>
        <w:rPr>
          <w:b/>
        </w:rPr>
        <w:t>E. 7</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5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rPr>
          <w:b/>
        </w:rPr>
        <w:t>E. 8</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9</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10</w:t>
      </w:r>
    </w:p>
    <w:p>
      <w:r>
        <w:t>Concernant tout d'abord l'avis de mobilisation allégué du (...) 2015, il sied de rappeler qu'à partir du mois de juillet 2012, les forces gouvernementales syriennes, désireuses de renforcer leurs positions autour de Alep et de Damas, ont, à quelques exceptions près, abandonné aux YPG le contrôle de la région d'Hassaké et notamment de la ville de Al-Malikia, évacuée ce mois-là par les autorités syriennes qui ont cédé aux YPG plusieurs bâtiments administratifs et militaires, dont des casernes et ceux de l'office de la sécurité politique, du service de sécurité et du service des renseignements militaires (voir à ce sujet les arrêts D-3007/2015 [consid. 5.1], E-6456/2016 [consid. 3.5], E-939/2017 [consid. 3.4.3] et E-3403/2017 [consid. 3.2.3], rendus par le Tribunal, en dates du 28 novembre 2017, du 7 mars 2018, et des 24 janvier et 15 février 2019, avec réf. cit.). S'agissant plus spécifiquement de la localité de Al-C._______, voisine de B._______, il est notoire qu'en date du 21 février 2013, les membres des YPG en ont pris le contrôle après son abandon sans combat par les forces de sécurité et l'armée syriennes (cf. Kurdwatch [Berlin], Al-C._______: YPG takes control of the city without a fight, 04.03.2013 ; www.kurdwatch.ezks.org [...], site consulté le 23.07.2019). Dans ces circonstances, il apparaît d'emblée peu plausible qu'un document militaire ait été délivré par l'Etat syrien, le (...) 2015, à Al-Malikia, trois années après sa prise par les YPG, et que ce document ait ultérieurement été remis au père du recourant, à B._______, alors contrôlée par ces mêmes YPG (cf. supra), plus de deux ans après l'évacuation de Al-C._______ ainsi que de ses alentours par les forces syriennes. Pareil scénario apparaît d'autant moins concevable qu'au cours de l'été 2015, précédant l'intervention massive en Syrie de la Russie du 30 septembre 2015, l'armée syrienne, mise sous forte pression sur d'autres fronts, avait depuis longtemps renoncé à recruter des membres de la communauté kurde afin d'éviter toute confrontation avec les YPG (voir p. ex. à ce propos l'arrêt D-5018/2015 du Tribunal du 26 octobre 2015 consid. 5.2, avec réf. cit.). Pour ces motifs-là déjà, l'avis prétendu de mobilisation du (...) 2015 ne revêt qu'une valeur probante réduite. En conséquence, le Tribunal n'estime pas hautement probable (art. 7 LAsi et consid. 8 supra) que A._______ ait été appelé sous les drapeaux à la date précitée et qu'un tel appel ait été la raison de son départ en Turquie. En outre, le Tribunal se doit de noter la rupture du lien temporel de causalité (cf. consid. 6 supra) entre la fuite du prénommé de Syrie du (...) 2015 et les autres événements également invoqués comme motifs d'asile à l'appui de sa demande de protection. En effet, pareille fuite est intervenue environ trois ans après l'assassinat de son frère au mois (...) 2012 et les menaces téléphoniques subséquentes lancées contre lui par des agents des organes de sécurité syriens, respectivement bien plus de douze mois après sa participation, jusqu'en 2013/2014, aux manifestations organisées dans le Kurdistan syrien contre le régime du président Bachar Al-Assad (cf. let. A supra). Dès son retour à B._______ au mois de (...) 2012, le recourant aurait en outre pu aisément quitter la Syrie sans attendre le mois (...) 2015 en rejoignant par exemple deux de ses frères et quatre de ses soeurs vivant alors déjà au Kurdistan irakien (cf. pv d'audition du 17.11.2015, p. 4. ch. 3.03). Force est ainsi de constater l'absence de motif objectif plausible susceptible de justifier un départ différé au sens défini ci-dessus par la jurisprudence (cf. consid. 6 précité). L'intéressé a, enfin, précisé n'avoir jamais personnellement été inquiété par les YPG avant sa fuite en Turquie (cf. pv d'audition du 21.12.2017, p. 21, rép. à la quest. no 185) malgré la poursuite de ses activités alléguées pour le PDK et les rapports parfois tendus entre ce mouvement et le PYD (voir p. ex. à ce propos l'article du « Monde Diplomatique » du mois de février 2020, intitulé « L'avenir suspendu du Rojava »). Vu ce qui précède, le Tribunal en conclut que les craintes de persécutions alléguées, en ce qu'elles se rapportent à des circonstances antérieures au départ du recourant de Syrie, ne satisfont ni aux exigences de haute probabilité de l'art. 7 LAsi, ni aux conditions mises à la reconnaissance de la qualité de réfugié au sens de l'art. 3 LAsi.</w:t>
      </w:r>
    </w:p>
    <w:p>
      <w:r>
        <w:rPr>
          <w:b/>
        </w:rPr>
        <w:t>E. 11</w:t>
      </w:r>
    </w:p>
    <w:p>
      <w:r>
        <w:t>Cela étant, il convient maintenant de vérifier si ladite qualité peut être reconnue à A._______ en raison de sa participation prétendue à deux manifestations à Berne et à Zurich pour le Kurdistan irakien (cf. let. A supra).</w:t>
      </w:r>
    </w:p>
    <w:p>
      <w:r>
        <w:rPr>
          <w:b/>
        </w:rPr>
        <w:t>E. 11.1</w:t>
      </w:r>
    </w:p>
    <w:p>
      <w:r>
        <w:t>Celui qui se prévaut d'un risque de persécution dû uniquement à son départ du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pas, en effet,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(voir l'arrêt susmentionné du Tribunal D-3839/2013, consid. 6.3, ainsi que ses autres arrêts D 3007/2015 du 28 novembre 2017 consid. 6.3.1 ; E 3031/2015 du 12 juillet 2017 consid. 6.3 ; D-5127/2015 du 27 février 2017 consid. 5.3 ; E-6967/2014 du 18 février 2016 consid. 3.2 ; E 5417/2015 du 15 octobre 2015 consid. 4.3).</w:t>
      </w:r>
    </w:p>
    <w:p>
      <w:r>
        <w:rPr>
          <w:b/>
        </w:rPr>
        <w:t>E. 11.2</w:t>
      </w:r>
    </w:p>
    <w:p>
      <w:r>
        <w:t>En l'occurrence, A._______ s'est limité à invoquer sa participation aux deux manifestations susmentionnées à Berne et à Zurich, ce qui, en l'absence d'autres éléments postérieurs à son arrivée en Suisse, ne suffit pas pour établir ou rendre hautement probable que le régime du président Bachar Al-Assad le considérerait comme une menace sérieuse et concrète au sens défini plus haut. En conséquence, le recourant ne peut valablement se prévaloir d'une crainte fondée de préjudices pertinents en matière d'asile pour des motifs subjectifs postérieurs à la fuite selon l'art. 54 LAsi.</w:t>
      </w:r>
    </w:p>
    <w:p>
      <w:r>
        <w:rPr>
          <w:b/>
        </w:rPr>
        <w:t>E. 12</w:t>
      </w:r>
    </w:p>
    <w:p>
      <w:r>
        <w:t>Pour le reste, l'appartenance de l'intéressé à la communauté kurde ne saurait en soi justifier de lui reconnaître la qualité de réfugié, dans la mesure où le Tribunal n'a jusqu'ici pas retenu de persécution collective dirigée contre les membres de l'ethnie kurde en Syrie (sur les exigences très élevées mises à la reconnaissance d'une persécution collective, voir ATAF 2011/16 consid. 5 et jurisp. cit.). Au surplus, les motifs de fuite résultant d'un état de guerre ou de violence généralisée, auquel tout un chacun peut être confronté, ne sont pas, comme tels, déterminants pour la reconnaissance de la qualité de réfugié, dès lors qu'ils ne sont pas dictés par une volonté de persécution ciblée en raison de l'un des motifs énoncés exhaustivement à l'art. 3 al. 1 LAsi (cf. ATAF 2008/12 susmentionné, consid. 7, p 169). Enfin, le seul dépôt d'une demande d'asile à l'étranger par un ressortissant syrien ne suffit pas à fonder un risque de persécution (cf. arrêt de référence du Tribunal D-3838/2013 du 28 octobre 2015, consid. 6.4.3).</w:t>
      </w:r>
    </w:p>
    <w:p>
      <w:r>
        <w:rPr>
          <w:b/>
        </w:rPr>
        <w:t>E. 13</w:t>
      </w:r>
    </w:p>
    <w:p>
      <w:r>
        <w:t>Dès lors, la décision attaquée ne viole pas le droit fédéral et a établi de manière exacte et complète l'état de fait pertinent (art. 106 al. 1 LAsi). Il s'ensuit que le recours doit être rejeté et dite décision confirmée en tous points, non seulement en tant qu'elle refuse à A._______ la qualité de réfugié et l'asile, mais aussi en matière de renvoi (art. 44 LAsi), aucune des conditions de l'art. 32 de l'ordonnance 1 du 11 août 1999 sur l'asile relative à la procédure (OA 1, RS 142.311) n'étant ici réalisée, à défaut notamment d'un droit du recourant à une autorisation de séjour ou d'établissement.</w:t>
      </w:r>
    </w:p>
    <w:p>
      <w:r>
        <w:rPr>
          <w:b/>
        </w:rPr>
        <w:t>E. 14</w:t>
      </w:r>
    </w:p>
    <w:p>
      <w:r>
        <w:t>En raison de la décision d'admission provisoire du SEM du 26 juin 2018 pour cause d'inexigibilité de l'exécution du renvoi, il n'y a pas lieu d'examiner plus avant d'éventuels autres éléments non pertinents en matière d'asile, susceptibles de rendre illicite, au sens des art. 3 CT et 3 CEDH, l'exécution du renvoi de l'intéressé en Syrie (voir à ce propos ATAF 2009/51 consid. 5.4).</w:t>
      </w:r>
    </w:p>
    <w:p>
      <w:r>
        <w:rPr>
          <w:b/>
        </w:rPr>
        <w:t>E. 15</w:t>
      </w:r>
    </w:p>
    <w:p>
      <w:r>
        <w:t>Dans la mesure où le recourant a été intégralement débouté, les frais judiciaires devraient être mis à sa charge, conformément à l'art. 63 al. 1 PA. Il est toutefois ici renoncé à leur perception, suite à leur dispense, ordonnée par le juge instructeur dans sa décision incidente du 8 août 2019 (cf. let. E supra et art. 65 al. 1 PA),</w:t>
      </w:r>
    </w:p>
    <w:p>
      <w:r>
        <w:rPr>
          <w:b/>
        </w:rPr>
        <w:t>E. 16</w:t>
      </w:r>
    </w:p>
    <w:p>
      <w:r>
        <w:t>Le Tribunal admet par ailleurs la demande de désignation de Rêzan Zehrê comme défenseur d'office du recourant (cf. disp. précitée et anc. art. 110a al. 1 let. a LAsi). Il y a donc lieu d'allouer à ce mandataire d'office une indemnité à titre d'honoraires et de débours pour toutes ses opérations effectuées depuis le 14 août 2019, date de la constitution du mandat ressortant de la procuration du même jour produite au dossier. Aucune indemnité n'est en revanche due pour la rédaction par un tiers, à titre gratuit, du mémoire de recours du 30 juillet 2018, intervenue avant la constitution du mandat précité (cf. let. F supra et art. 8 à 11 en relation avec les art. 12 et 14 du règlement du 21 février 2008 concernant les frais, dépens et indemnités fixés par le Tribunal administratif fédéral [FITAF, RS 173.320.2]).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En l'absence de décompte, l'indemnité à titre d'honoraires et de débours en faveur de Rêzan Zehrê, mandataire d'office du recourant, est arrêtée, à 150 francs, sur la base du dossier (art. 8 al. 2, 11 al. 3 et 4, et 14 al. 2 [dern. phr.]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