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D-4371/2011 vom 20. September 2012</w:t>
      </w:r>
    </w:p>
    <w:p>
      <w:r>
        <w:t>Bundesverwaltungsgericht, 2012-09-20, DE</w:t>
      </w:r>
    </w:p>
    <w:p>
      <w:r>
        <w:rPr>
          <w:b/>
        </w:rPr>
        <w:t xml:space="preserve">Quelle: </w:t>
      </w:r>
      <w:r>
        <w:t>https://mcp.opencaselaw.ch/entscheid/bvger_D-4371_2011</w:t>
      </w:r>
    </w:p>
    <w:p>
      <w:r>
        <w:t>FR: TAF D-4371/2011 du 20 septembre 2012</w:t>
      </w:r>
    </w:p>
    <w:p>
      <w:r>
        <w:t>IT: TAF D-4371/2011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wird in der Beschwerde eine formelle Rüge erhoben. Das BFM habe seine Quellen, auf welche es seine Lageeinschätzung gestützt habe, nicht offengelegt. Gemäss dem Öffentlichkeitsprinzip müsste es jedoch grundsätzlich seine Quellen angeben.</w:t>
      </w:r>
    </w:p>
    <w:p>
      <w:r>
        <w:rPr>
          <w:b/>
        </w:rPr>
        <w:t>E. 3.2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3.3</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3.4</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den Beschwerdeführenden diese Erkenntnisse mit angemessener Transparenz offenzulegen. Eine knappe Wiedergabe lediglich der wichtigsten aus der Dienstreise gezogenen Schlüsse, wie mit der angefochtenen Verfügung geschehen, wird dem Informationsanspruch der Beschwerdeführenden nicht gerecht. Der Anspruch der Beschwerdeführenden auf Einsicht in die Ergebnisse der Dienstreise setzt vielmehr voraus, dass ihnen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3.5</w:t>
      </w:r>
    </w:p>
    <w:p>
      <w:r>
        <w:t>Das BFM hat sich auf den Dienstreisebericht des BFM vom September 2010 in der angefochtenen Verfügung gestützt, nähere diesbezügliche Ausführungen jedoch unterlassen. Bei dieser Sachlage ist festzustellen, dass das BFM den Anspruch der Beschwerdeführenden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Beschwerdeführenden dazu Stellung nehmen können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3.6</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3.7</w:t>
      </w:r>
    </w:p>
    <w:p>
      <w:r>
        <w:t>Mit Zwischenverfügung vom 30. März 2012 wurde den Beschwerdeführenden eine Kopie der erwähnten Zusammenfassung übermittelt. Gleichzeitig wurde ihnen die Gelegenheit gegeben, dazu bis am 16. April 2012, eine Stellungnahme einzureichen. Mit Eingabe vom 16. April 2011 (Poststempel) liessen sie sich fristgerecht vernehmen.</w:t>
      </w:r>
    </w:p>
    <w:p>
      <w:r>
        <w:rPr>
          <w:b/>
        </w:rPr>
        <w:t>E. 3.8</w:t>
      </w:r>
    </w:p>
    <w:p>
      <w:r>
        <w:t>Infolgedessen ist der von den Beschwerdeführenden geltend gemachte Verfahrensmangel, in Bezug auf die Ergebnisse der Dienstreise des BFM nach Sri Lanka vom September 2010 sei ihr Anspruch auf rechtliches Gehör verletzt worden, als geheilt zu erachten.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8. August 2011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Beschwerdeführenden vermögen jedoch die zutreffenden Erwägungen des BFM nicht umzustossen. Das BFM hat zu Recht festgestellt, dass die geltend gemachte Inhaftierung des Beschwerdeführers vom 28. September 1996 bis zum 18. März 1997 mangels des in zeitlicher und sachlicher Hinsicht erforderlichen genügend engen Kausalzusammenhang asylirrelevant ist. Aktenkundig hat der Beschwerdeführer nach der Entlassung zwölf Jahre in seiner Heimat verbracht. Die für diesen Zeitraum geltend gemachte Meldepflicht kann nicht geglaubt werden und wäre ohnehin wegen fehlender Intensität nicht asylrelevant. Auch hat das Asylrecht nicht die Funktion eines Ausgleichs für allfällig erlittenes Unrecht in der Vergangenheit. Für das Bundesverwaltungsgericht besteht somit nach Überprüfung der Akten keine Veranlassung, die Erwägungen des Bundesamtes zu beanstanden. Bei dieser Sachlage kann zur Vermeidung von Wiederholungen auf die Erwägungen in der angefochtenen Verfügung verwiesen werden.</w:t>
      </w:r>
    </w:p>
    <w:p>
      <w:r>
        <w:rPr>
          <w:b/>
        </w:rPr>
        <w:t>E. 5.2</w:t>
      </w:r>
    </w:p>
    <w:p>
      <w:r>
        <w:t>Zusammenfassend ist festzuhalten, dass es den Beschwerdeführen­den nicht gelungen ist, nachzuweisen oder zumindest glaubhaft zu ma­chen, dass sie in ihrer Heimat ernsthafte Nachteile gemäss Art. 3 AsylG erlitten haben oder solche bei einer Rückkehr nach Sri Lanka befürchten müssen. Die Beschwerdevorbringen und die eingereichten Beweismittel vermögen zu keiner anderen Betrachtungsweise zu führen, weshalb es sich erübrigt, weiter darauf einzugehen. Die Beschwerdeführenden erfül­len somit die Voraussetzungen zur Anerkennung der Flüchtlingseigen­schaft nicht, weshalb die Vorinstanz die Asylbegehren zu Recht und mit zutreffender Begründung abgelehnt hat. 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(vgl. BVGE 2009/50 E. 9 S. 733 mit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w:t>
      </w:r>
    </w:p>
    <w:p>
      <w:r>
        <w:rPr>
          <w:b/>
        </w:rPr>
        <w:t>E. 7.4</w:t>
      </w:r>
    </w:p>
    <w:p>
      <w:r>
        <w:t>Es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vom 27. Mai 2008 i.S. N. gegen Vereinigtes König­reich, Ziff. 34).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Sri Lanka für die weitere medizinische Betreuung des gemeinsamen Sohnes der Beschwerdeführenden stellt unter dem Blickwinkel von Art. 3 EMRK somit kein relevantes völkerrechtliches Voll­zugshindernis dar. Nach dem Gesagten ist der Vollzug der Wegweisung im Sinne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7.6</w:t>
      </w:r>
    </w:p>
    <w:p>
      <w:r>
        <w:t>Gemäss öffentlich zugänglichen Quellen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w:t>
      </w:r>
    </w:p>
    <w:p>
      <w:r>
        <w:rPr>
          <w:b/>
        </w:rPr>
        <w:t>E. 7.6.1</w:t>
      </w:r>
    </w:p>
    <w:p>
      <w:r>
        <w:t>Die Lage präsentiert sich jedoch nicht in allen Landesteilen gleich und muss differenziert betrachtet werden. Insbesondere die Lage in der Nordprovinz von Sri Lanka ist differenziert einzuschätzen, da sich die Situation gebietsweise sehr unterschiedlich präsentiert (vgl. BVGE 2011/24 E. 13.2. S. 510 ). Insbesondere in den Gebieten, die bereits seit längerer Zeit unter Regierungskontrolle stehen, das heisst die Distrikte Jaffna und in den südlichen Teilen der Distrikte Vavuniya und Mannar, scheine der Alltag eingekehrt zu sein. Die Lage in Jaffna hat sich nament­lich nach der Öffnung der Verbindungsstrasse A9 (Hauptverkehrsachse zwischen Kandy in der Zentralprovinz nach Jaffna) im November 2009 deutlich gebessert und die Versorgungslage hat sich entspannt (vgl. a.a.O. E. 13.2.1. S. 510). Der Fortschritt in diesen Gebieten ist beeindru­ckend und auch einige Schulen sind wieder eröffnet und Spitäler wieder eingerichtet worden (vgl. a.a.O.).</w:t>
      </w:r>
    </w:p>
    <w:p>
      <w:r>
        <w:rPr>
          <w:b/>
        </w:rPr>
        <w:t>E. 7.6.2</w:t>
      </w:r>
    </w:p>
    <w:p>
      <w:r>
        <w:t>Zusammenfassend ist somit festzustellen, dass in den genannten Provinzen (Distrikt Jaffna und die südlichen Teilen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7.7</w:t>
      </w:r>
    </w:p>
    <w:p>
      <w:r>
        <w:t>Zu prüfen bleibt die individuelle Zumutbarkeit des Wegweisungsvoll­zugs für die Beschwerdeführenden.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Dabei ist für Personen, die wie die Beschwerdeführenden, aus der Nordprovinz stammen und die dieses Gebiet erst nach Beendigung des Bürgerkrieges im Mai 2009 verlassen haben,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 steht (vgl. a.a.O. E. 13.2.1.1 S. 511).</w:t>
      </w:r>
    </w:p>
    <w:p>
      <w:r>
        <w:rPr>
          <w:b/>
        </w:rPr>
        <w:t>E. 7.8</w:t>
      </w:r>
    </w:p>
    <w:p>
      <w:r>
        <w:t>Den Akten zufolge lebten die Beschwerdeführenden bis 12. Dezember 2009 in G._______, in der Region H._______ (vgl. A2/11 S. 1; A3/10 S. 1), wo noch heute die Eltern und die vier Geschwis­ter des Beschwerdeführers (vgl. A2/11 S. 3) beziehungsweise alle seine engen Verwandten (vgl. A12/16 S. 3 F. 16, F. 19 - F. 23) sowie die Eltern der Beschwerdeführerin und zwei ihrer insgesamt vier Schwestern leben (vgl. A3/10 S. 3). Bis zu ihrer Ausreise am 3. Januar 2010 lebten die Be­schwerdeführenden in Colombo (vgl. A2/11 S. 8; A3/10 S. 1).</w:t>
      </w:r>
    </w:p>
    <w:p>
      <w:r>
        <w:rPr>
          <w:b/>
        </w:rPr>
        <w:t>E. 7.9</w:t>
      </w:r>
    </w:p>
    <w:p>
      <w:r>
        <w:t>Die Beschwerdeführenden machten im Verlauf des Asylverfahrens gesundheitliche Probleme ihres Sohnes F._______ geltend (vgl. A3/10 S. 5). Bei der Befragung zur Person erklärte die Beschwerdeführerin, er müsse noch einmal am Herzen operiert werden, im Jahr 2007 sei er bereits einmal in Colombo operiert worden (vgl. A3/10 S. 6). Bei der direkten Anhörung zu den Asylgründen gab sie zu Protokoll, F._______ leide seit seiner Geburt an einem Herzfehler, er habe ein Loch im Herzen und die Blutzirkulation im Herzbereich sei nicht optimal. Bereits fünf Tage nach seiner Geburt seien sie mit einer Ambulanz des IKRK nach Colombo gefahren. Danach hätten sie sich alle sechs Monate nach Colombo begeben. Die Ärzte hätten zu einer Herzoperation geraten, selber hätten sie nur einen Operationsversuch unternommen (vgl. A13/12 S. 8 f. F. 76 - F. 86).</w:t>
      </w:r>
    </w:p>
    <w:p>
      <w:r>
        <w:rPr>
          <w:b/>
        </w:rPr>
        <w:t>E. 7.9.1</w:t>
      </w:r>
    </w:p>
    <w:p>
      <w:r>
        <w:t>Gemäss dem ärztlichen Bericht [eines Schweizer Spitals] vom 25. April 2011 leidet F._______ an einem angeborenen Herzfehler, der in [der Schweiz] bereits mehrfach operiert worden ist. F._______ benötige eine langfristige Behand­lung. Unter anderem seien regelmässige kardiologische Kontrollen sowie eine erneute Operation (Pulmonalklappenersatz) erforderlich (vgl. A20/8).</w:t>
      </w:r>
    </w:p>
    <w:p>
      <w:r>
        <w:rPr>
          <w:b/>
        </w:rPr>
        <w:t>E. 7.9.2</w:t>
      </w:r>
    </w:p>
    <w:p>
      <w:r>
        <w:t>Gemäss dem auf Beschwerdeebene eingereichten ärztlichen Be­richt [eines Schweizer Spitals] vom 8. August 2011 besteht bei F._______ derzeit eine recht günstige Situation: F._______ leide unter einem schweren Herzfehler, welcher sowohl die Tricuspidalklappe wie auch die Lungenschlagader betreffe. Deshalb seien auch in Zukunft immer wieder herzchirurgische Eingriffe erforderlich, da das Herz ansonsten durch die Einengungen im Bereich der Lungenschlagader beziehungsweise durch die Undichtigkeit an der Tricuspidalklappe massiven Schaden nehmen würde. Die Folgen davon wären Herzrhythmusstörungen, Herzmuskelschwäche und der Tod des Patienten. Mit adäquaten herzchirurgischen Eingriffen beziehungs­weise Interventionen im Rahmen von Herzkatheter-Untersuchungen könnten in der Regel solche Komplikationen vermieden werden. Nach Kenntnisstand des behandelnden Arztes sei davon auszugehen, dass dem Patienten die adäquaten und zeitgerechten Eingriffe in seinem Heimatland zugänglich sein dürften.</w:t>
      </w:r>
    </w:p>
    <w:p>
      <w:r>
        <w:rPr>
          <w:b/>
        </w:rPr>
        <w:t>E. 7.9.3</w:t>
      </w:r>
    </w:p>
    <w:p>
      <w:r>
        <w:t>Gemäss dem ärztlichen Bericht [eines Schweizer Spitals] vom 21. Juni 2012 fand am 14. Juni 2012 eine weitere Konsultation statt. Als Zwischenanamnese wurde festgehalten, dass seit der letzten Kontrolle, welche am 5. Januar 2012 erfolgt sei, alles problemlos verlaufen sei. F._______ besuche aktuell die erste Klasse. Im Alltag und im Schulturnen sei er etwas weniger leistungsfähig als die Klassenkameraden, er leide jedoch weder unter Herzstechen, noch unter Synkope/Präsynkope oder unter interkurrenten Infekten. Bei F._______ finde sich insgesamt eine stabile Situa­tion bei einer mässig ausgeprägten Ebstein-Anomalie mit Pulmonalste­nose nach Einlage eines Conduits und nach Stenting der rechten Pulmonalarterie. Es zeige sich allerdings im Verlauf eine leichte Zunahme des rechtsventrikulären Druckes. Im Übrigen unauffälliges laminares Flussmuster über dem gesamten Aortabogen sowie in der Aorta abdominalis und der Vena cava inferior. Schliesslich finde sich eine feh­lende Koaptation der Pulmonalklappe mit einer leicht bis mässig ausgeprägten zentralen Insuffizienz, aber kein Perikarderguss. In drei Monaten sei sowohl eine Kontrolle in der Sprechstunde, als auch ein Direktaufgebot für eine kinderkardiologische Verlaufskontrolle, gegebenenfalls die Planung einer Herzkatheteruntersuchung im Verlauf vorgesehen.</w:t>
      </w:r>
    </w:p>
    <w:p>
      <w:r>
        <w:rPr>
          <w:b/>
        </w:rPr>
        <w:t>E. 7.9.4</w:t>
      </w:r>
    </w:p>
    <w:p>
      <w:r>
        <w:t>Öffentlich zugänglichen Quellen sind in Sri Lanka Kinderherzoperationen sowie die erforderlichen kardiologischen Kontrollen möglich, allerdings nicht im Jaffna-Distrikt. Das Internationale Rote Kreuz fliegt jedoch zweimal pro Woche Patienten, die die entsprechende Behandlung benötigen, nach Colombo. In Notfällen übernimmt die "Sri Lankan Air Force" den Flug (vgl. British High Commission, Letter of 17 September 2009, in UK Home Office Border Agency, Country of Origin Report: Sri Lanka, 13.10.2009, p. 13, &lt;http://www.unhcr.org/refworld/pdfid/4ad58eb02.pdf&gt;, besucht am 23. Juli 2012). Herzklappenoperationen werden in Sri Lanka seit über zehn Jahren durchgeführt, wobei das "Institute of Cardiology" in Colombo das medizinische Referenzzentrum für Herzpatienten in Sri Lanka ist, sowohl für Erwachsene als auch für Kinder. Andere Quellen bestätigen, dass es in Colombo zwei Kliniken gibt, die Kinderherzoperationen durchführen. Beide Spitäler sind öffentlich und ihre Behandlungen, wie in allen öffentlichen Spitälern, gratis (vgl. The Sunday Observer (Colombo), Children's heart project No more long wait for paediatric surgery, &lt;http://www.sundayobserver.lk/2007/05/20/new23.asp&gt; besucht am 24. Juli 2012; Bundesamt für Migration und Flüchtlinge &amp; International Organization for Migration, Country Fact Sheet Sri Lanka, 06.2011, p. 6, &lt;http://www.bamf.de/EN Assisted return Country information Country fact sheets Sri Lanka aufgerufen am 24. Juli 2012). Das "Lanka Hospitals" (vormals "Apollo Hospital") in Colombo, welches als bestes Privatspital im Land gilt, unterhält ebenfalls eine Abteilung für Herzoperationen. Der Marketing-Direktor der Klinik versicherte, dass sie auch Pulmonalklappenersatz-Operationen durchführen (vgl. E-Mail vom [...]). Die Kosten der Operation müssen vollumfänglich von den Patienten getragen werden, doch gewähren gewisse karitative Organisationen in einzelnen Fällen Unterstützung (vgl. Open Heart. Nethminis open heart surgery in Sri Lanka &lt;http://www-houseofhope.de/en projects-save-life&gt; besucht am 8. Juni 2011).</w:t>
      </w:r>
    </w:p>
    <w:p>
      <w:r>
        <w:rPr>
          <w:b/>
        </w:rPr>
        <w:t>E. 7.9.5</w:t>
      </w:r>
    </w:p>
    <w:p>
      <w:r>
        <w:t>Somit stehen die geltend gemachten gesundheitlichen Probleme des gemeinsamen Sohnes der Beschwerdeführenden einem Wegweisungsvollzug nach Sri Lanka nicht entgegen. Dessen Herzleiden kann auch in Sri Lanka behandelt werden. Auch die eingereichte Diagnosis Card bestätigt, dass er bereits in der Vergangenheit medizinisch behandelt wurde. Daraus kann geschlossen werden, dass die Ärzte mit seiner Krankengeschichte vertraut sind und er weiterhin behandelt werden kann.</w:t>
      </w:r>
    </w:p>
    <w:p>
      <w:r>
        <w:rPr>
          <w:b/>
        </w:rPr>
        <w:t>E. 7.10</w:t>
      </w:r>
    </w:p>
    <w:p>
      <w:r>
        <w:t>Im Rahmen der Befragungen hat der Beschwerdeführer vorgetragen, er habe seinen Lebensunterhalt als Landwirt auf seinem eigenen Land verdient (vgl. A2/11 S. 2). Er stamme aus einer wohlhabenden Familie und habe nach seiner Heirat von seiner Familie viel Land geerbt (vgl. A12/16 S. 2 F. 8). Er habe auf seinem Grundstück 5000 Pflanzen anbauen können, das Gemüse habe er dann an Händler verkauft (vgl. a.a.O. S. 4 F. 32 ff.). Er habe ausserdem vier Kühe besessen (vgl. a.a.O. S.4 F. 36), davon habe er ohne Probleme leben können (vgl. a.a.O. S.4 F. 37). Finanzielle Unterstützungen habe er keine bezogen, er habe aber auch einen eigenen Traktor besessen (vgl. a.a.O. S. 5 F. 38). Auch die Beschwerdeführerin bestätigte, dass ihr Ehemann mit seiner Arbeit als Landwirt für den Lebensunterhalt der Familie gesorgt habe (vgl. A13/12 S. 4 F. 27 f.), die Frage, ob sie davon hätten leben können, bejahte sie und fügte hinzu, ihr Ehemann sei wohlhabend gewesen (vgl. a.a.O S. 4 F. 29). Des Weiteren leben zwei Schwestern der Beschwerdeführerin in der Schweiz (vgl. A3/10 S. 3). Aufgrund der persönlichen Verhältnisse der Beschwerdeführenden ist vom Vorliegen begünstigender Faktoren auszugehen. Es ist somit anzunehmen, dass die Beschwerdeführenden bei einer Rückkehr nach Sri Lanka auf ein existierendes, tragfähiges familiäres Netz stossen werden. Bei der Wiedereingliederung in G._______, wo ein Grossteil ihrer Angehörigen noch immer lebt (vgl. A12/16 S. 3 F. 23, demnach leben alle Onkel und Tanten des Beschwerdeführers im selben Dorf, nur einige hundert Meter voneinander entfernt), können ihnen diese gegebenenfalls Unterstützung gewähren. Die Beschwerdeführenden bezeichnen sich selbst als wohlhabend und haben ausdrücklich erklärt, es sei ihnen in ihrer Heimat gut gegangen. Es bestehen demnach keine konkreten Anhaltspunkte dafür, dass sie bei einer Rückkehr nach Sri Lanka in eine existenzielle Notlage geraten würden. Dies um so weniger, als ein Onkel der Beschwerdeführerin ihren Aussagen zufolge die Ausreise der Beschwerdeführenden organisiert und mit dem Schlepper Kontakt aufgenommen hat (vgl. A13/16 S. 2 F. 5 und F. 10). Folglich ist davon auszugehen, dass ihre Familie in Sri Lanka ihnen auch bei ihrer Rückkehr Unterstützung zukommen lassen wird. Auch die in der Schweiz lebenden Schwestern der Beschwerdeführerin (vgl. A3/10 S. 3) werden ihnen, soweit dies erforderlich sein sollte, finanzielle Zuwendungen zukommen lassen. Nach dem Gesagten erweist sich der Vollzug der Wegweisung auch als zumutbar.</w:t>
      </w:r>
    </w:p>
    <w:p>
      <w:r>
        <w:rPr>
          <w:b/>
        </w:rPr>
        <w:t>E. 7.11</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7.12</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Gemäss Art. 65 Abs. 1 VwVG haben auf Antrag hin diejenigen Personen Anspruch auf unentgeltliche Rechtspflege, welche nicht über die erforderlichen Mittel verfügen und deren Begehren nicht aussichtslos erscheinen.</w:t>
      </w:r>
    </w:p>
    <w:p>
      <w:r>
        <w:rPr>
          <w:b/>
        </w:rPr>
        <w:t>E. 9.2</w:t>
      </w:r>
    </w:p>
    <w:p>
      <w:r>
        <w:t>Die Beschwerdeführenden stellten mit der Beschwerde unter anderem den Antrag, ihnen sei die unentgeltliche Rechtspflege im Sinne von Art. 65 Abs. 1 VwVG zu gewähren. Die von ihnen gestellten Rechtsbegehren erschienen im Zeitpunkt der Beschwerdeeingabe nicht aussichtslos und von ihrer Bedürftigkeit im Sinne von Art. 65 Abs. 1 VwVG kann ausgegangen werden.</w:t>
      </w:r>
    </w:p>
    <w:p>
      <w:r>
        <w:rPr>
          <w:b/>
        </w:rPr>
        <w:t>E. 9.3</w:t>
      </w:r>
    </w:p>
    <w:p>
      <w:r>
        <w:t>Das Gesuch um Gewährung der unentgeltlichen Rechtspflege im Sinne von Art. 65 Abs. 1 VwVG ist deshalb gutzuheissen. Es sind keine Verfahrenskosten zu erheben.</w:t>
      </w:r>
    </w:p>
    <w:p>
      <w:r>
        <w:rPr>
          <w:b/>
        </w:rPr>
        <w:t>E. 9.4</w:t>
      </w:r>
    </w:p>
    <w:p>
      <w:r>
        <w:t>Vertretenen Beschwerdeführenden ist auch trotz materieller Abweisung der Beschwerde eine angemessene Parteientschädigung zuzusprechen, wenn ein Verfahrensmangel, welcher grundsätzlich zur Kassation der angefochtenen Verfügung hätte führen müssen, im Beschwerdeverfahren geheilt wird (vgl. BVGE 2008/47 E.5.2 S. 681). Vorliegend wurde den Beschwerdeführenden das rechtliche Gehör zum vorinstanzlichen Länderbericht vom 22. Dezember 2011 zu Sri Lanka nicht schon durch die Vorinstanz, sondern erst auf Beschwerdeebene gewährt. Dieser Mangel wurde erst durch die nachträgliche Gewährung der Akteneinsicht sowie die Möglichkeit einer Stellungnahme durch die Beschwerdeführenden geheilt. Den nichtvertretenen Beschwerdeführenden sind dadurch jedoch keine finanziellen Aufwendungen entstanden, weshalb auf die Ausrichtung einer Parteientschädigung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