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D-4369/2019 vom 4. September 2019</w:t>
      </w:r>
    </w:p>
    <w:p>
      <w:r>
        <w:t>Bundesverwaltungsgericht, 2019-09-04, DE</w:t>
      </w:r>
    </w:p>
    <w:p>
      <w:r>
        <w:rPr>
          <w:b/>
        </w:rPr>
        <w:t xml:space="preserve">Quelle: </w:t>
      </w:r>
      <w:r>
        <w:t>https://mcp.opencaselaw.ch/entscheid/bvger_D-4369_2019</w:t>
      </w:r>
    </w:p>
    <w:p>
      <w:r>
        <w:t>FR: TAF D-4369/2019 du 4 septembre 2019</w:t>
      </w:r>
    </w:p>
    <w:p>
      <w:r>
        <w:t>IT: TAF D-4369/2019 del 4 settembre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BGG, soweit das AsylG nichts anderes bestimmt (Art. 37 VGG und Art. 6 AsylG).</w:t>
      </w:r>
    </w:p>
    <w:p>
      <w:r>
        <w:rPr>
          <w:b/>
        </w:rPr>
        <w:t>E. 1.2</w:t>
      </w:r>
    </w:p>
    <w:p>
      <w:r>
        <w:t>Der Beschwerdeführer ist als Verfügungsadressat zur Beschwerdeführung legitimiert (Art. 48 VwVG).</w:t>
      </w:r>
    </w:p>
    <w:p>
      <w:r>
        <w:rPr>
          <w:b/>
        </w:rPr>
        <w:t>E. 1.3</w:t>
      </w:r>
    </w:p>
    <w:p>
      <w:r>
        <w:t>Die eingereichte Beschwerde ist vom Beschwerdeführer nicht unterzeichnet (vgl. Art. 52 Abs. 1 VwVG). Angesichts des Umstandes, dass vorliegend die Personalien des Beschwerdeführers sowie die Verfahrensnummer des SEM in der Eingabe aufgeführt sind und der Beschwerdeführer auf der Formularbeschwerde seinen Namen und Vornamen handschriftlich aufgeführt hat und das Schriftbild mit jenem auf dem Personalienblatt (vgl. SEM act. 5/2) übereinstimmt, besteht vorliegend keine Veranlassung, die Eingabe zur Verbesserung an den Beschwerdeführer zurückzusenden. Auf die frist- und insoweit formgerecht eingereichte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IV/5 E. 3.1; 2012/4 E. 2.2, je m.w.H.).</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4.2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w:t>
      </w:r>
    </w:p>
    <w:p>
      <w:r>
        <w:t>Ein Abgleich der Fingerabdrücke des Beschwerdeführers mit der «Eurodac»-Datenbank ergab, dass dieser am 8. Januar 2019 in Slowenien ein Asylgesuch eingereicht hatte. Die Vorinstanz ersuchte deshalb die slowenischen Behörden am 12. August 2019 um Wiederaufnahme des Beschwerdeführers gestützt auf Art. 18 Abs. 1 Bst. b Dublin-III-VO. Die slowenischen Behörden hiessen das Übernahmeersuchen innert der in Art. 25 Abs. 1 Dublin-III-VO vorgesehen Frist am 21. August 2019 gut. Die grundsätzliche Zuständigkeit Sloweniens ist somit gegeben und diese wird vom Beschwerdeführer auch nicht bestritten.</w:t>
      </w:r>
    </w:p>
    <w:p>
      <w:r>
        <w:rPr>
          <w:b/>
        </w:rPr>
        <w:t>E. 6.1</w:t>
      </w:r>
    </w:p>
    <w:p>
      <w:r>
        <w:t>Es sind keine Gründe für die Annahme ersichtlich, dass das Asylverfahren und die Aufnahmebedingungen für Antragsteller in Slowenien systemische Schwachstellen im Sinne von Art. 3 Abs. 2 Dublin-III-VO aufweisen, die eine Gefahr einer unmenschlichen oder entwürdigenden Behandlung im Sinne des Artikels 4 der EU-Grundrechtecharta mit sich bringen würden.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6.2</w:t>
      </w:r>
    </w:p>
    <w:p>
      <w:r>
        <w:t>Das SEM hat sodann die Anwendung des Selbsteintrittsrechts im Sinne von Art. 17 Abs. 1 Dublin-III-VO sowie Art. 29a Abs. 3 AsylV 1 (SR 142.311) zu Recht verneint.</w:t>
      </w:r>
    </w:p>
    <w:p>
      <w:r>
        <w:rPr>
          <w:b/>
        </w:rPr>
        <w:t>E. 6.2.1</w:t>
      </w:r>
    </w:p>
    <w:p>
      <w:r>
        <w:t>Soweit der Beschwerdeführer geltend macht, es sei für ihn in Slowenien unerträglich und er wünsche den Schutz des Schweizer Staates, vermag er daraus keine Rechte abzuleiten. Er hat damit kein konkretes und ernsthaftes Risiko dargetan, die slowenischen Behörden würden sich weigern, ihn wieder aufzunehmen und seinen Antrag auf internationalen Schutz unter Einhaltung der Regeln der Verfahrensrichtlinie zu prüfen. Den Akten sind denn auch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Slowenien seien derart schlecht, dass sie zu einer Verletzung von Art. 4 der EU-Grundrechtecharta, Art. 3 EMRK oder Art. 3 FoK führen könnten. Der Beschwerdeführer hat auch keine konkreten Hinweise für die Annahme dargetan, Slowenien würde ihm dauerhaft die ihm gemäss Aufnahmerichtlinie zustehenden minimalen Lebensbedingungen vorenthalten. Bei einer allfälligen vorübergehenden Einschränkung könnte er sich im Übrigen nötigenfalls an die slowenischen Behörden wenden und die ihm zustehenden Aufnahmebedingungen auf dem Rechtsweg einfordern (vgl. Art. 26 Aufnahmerichtlinie).</w:t>
      </w:r>
    </w:p>
    <w:p>
      <w:r>
        <w:rPr>
          <w:b/>
        </w:rPr>
        <w:t>E. 6.2.2</w:t>
      </w:r>
    </w:p>
    <w:p>
      <w:r>
        <w:t>Unbehelflich sind auch seine Vorbringen, er sei in Slowenien verurteilt worden und es gebe dort viel Rassismus. Slowenien verfügt über funktionierende Polizei- und Justizorgane, deren Hilfe der Beschwerdeführer bei Bedarf, so auch im Fall einer tatsächlichen Bedrohung durch Dritte, in Anspruch nehmen könnte.</w:t>
      </w:r>
    </w:p>
    <w:p>
      <w:r>
        <w:rPr>
          <w:b/>
        </w:rPr>
        <w:t>E. 6.2.3</w:t>
      </w:r>
    </w:p>
    <w:p>
      <w:r>
        <w:t>Weitere Gründe, die unter dem Blickwinkel der Ermessensklauseln zu prüfen wären, bringt der Beschwerdeführer nicht vor und sind auch aus den Akten nicht ersichtlich.</w:t>
      </w:r>
    </w:p>
    <w:p>
      <w:r>
        <w:rPr>
          <w:b/>
        </w:rPr>
        <w:t>E. 6.2.4</w:t>
      </w:r>
    </w:p>
    <w:p>
      <w:r>
        <w:t>Nach dem Gesagten besteht kein Grund für eine Anwendung der Ermessensklauseln von Art. 17 Dublin-III-VO. Der Vollständigkeit halber ist festzuhalten, dass die Dublin-III-VO den Schutzsuchenden kein Recht einräumt, den Staat, der ihren Antrag zu prüfen hat, selbst auszuwählen (vgl. auch BVGE 2010/45 E. 8.3).</w:t>
      </w:r>
    </w:p>
    <w:p>
      <w:r>
        <w:rPr>
          <w:b/>
        </w:rPr>
        <w:t>E. 6.3</w:t>
      </w:r>
    </w:p>
    <w:p>
      <w:r>
        <w:t>Somit bleibt Slowenien der für die Behandlung des Asylgesuchs des Beschwerdeführers zuständige Mitgliedstaat gemäss Dublin-III-VO.</w:t>
      </w:r>
    </w:p>
    <w:p>
      <w:r>
        <w:rPr>
          <w:b/>
        </w:rPr>
        <w:t>E. 7</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der Vorinstanz zu bestätigen. Der Antrag auf Verzicht auf die Erhebung eines Kostenvorschusses ist mit dem vorliegenden Direktentscheid gegenstandslos geworden.</w:t>
      </w:r>
    </w:p>
    <w:p>
      <w:r>
        <w:rPr>
          <w:b/>
        </w:rPr>
        <w:t>E. 10.1</w:t>
      </w:r>
    </w:p>
    <w:p>
      <w:r>
        <w:t>Die Gesuche um Gewährung der unentgeltlichen Prozessführung (vgl. Art. 65 Abs. 1 VwVG) und der amtlichen Rechtsverbeiständung (vgl. Art. 102m Abs. 1 Bst. a AsylG) sind unbesehen der finanziellen Verhältnisse des Beschwerdeführers abzuweisen, da die Beschwerde gemäss den vorstehenden Erwägungen als aussichtslos zu bezeichnen ist und es daher an einer gesetzlichen Voraussetzung zu deren Gewährung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