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D-4367/2009 vom 24. Oktober 2011</w:t>
      </w:r>
    </w:p>
    <w:p>
      <w:r>
        <w:t>Bundesverwaltungsgericht, 2011-10-24, DE</w:t>
      </w:r>
    </w:p>
    <w:p>
      <w:r>
        <w:rPr>
          <w:b/>
        </w:rPr>
        <w:t xml:space="preserve">Quelle: </w:t>
      </w:r>
      <w:r>
        <w:t>https://mcp.opencaselaw.ch/entscheid/bvger_D-4367_2009</w:t>
      </w:r>
    </w:p>
    <w:p>
      <w:r>
        <w:t>FR: TAF D-4367/2009 du 24 octobre 2011</w:t>
      </w:r>
    </w:p>
    <w:p>
      <w:r>
        <w:t>IT: TAF D-4367/2009 del 24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führten im Schreiben vom 7. Juli und 16. Juli 2009 aus, der "minderjährige" Sohn der Beschwerdeführenden 2, Q._______ (N (...)), befinde sich ebenfalls in der Schweiz. Gegen einen ihn betreffenden ablehnenden Entscheid sei zur Zeit auch eine Beschwerde vor dem Bundesverwaltungsgericht hängig. Da im Asylverfahren dem Grundsatz der Einheit der Familie Rechnung zu tragen sei, seien die beiden Beschwerdeverfahren zu koordinieren. Diesbezüglich ist festzustellen, dass über die Beschwerde betreffend Q._______ (N (...)) mit Urteil des Bundesverwaltungsgerichts D-7503/2008 vom 2. August 2011 bereits entschieden wurde, weswegen sich vorliegend die Frage einer allfälligen Koordination der beiden Beschwerdeverfahren nicht mehr stellt.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[vormaligen] Schweizerischen Asylrekurskommission [EMARK] 2005 Nr. 21 E. 6.1 S. 190 f.).</w:t>
      </w:r>
    </w:p>
    <w:p>
      <w:r>
        <w:rPr>
          <w:b/>
        </w:rPr>
        <w:t>E. 5.1</w:t>
      </w:r>
    </w:p>
    <w:p>
      <w:r>
        <w:t>Vorab ist festzustellen, dass die Beschwerdeführenden 1 und 2 den Wortlaut sämtlicher Protokolle mit ihrer Unterschrift genehmigt haben und sich deshalb ihre Aussagen grundsätzlich entgegenhalten lassen müssen. Die Behauptung in der Beschwerde respektive in der Beschwerdeergänzung, wonach es bei den Befragungen zu Verständigungsschwierigkeiten gekommen sei, da jeweils Iranerinnen übersetzt hätten, deren Farsi die Beschwerdeführenden 1 und 2 zwar verstünden, es jedoch gewisse typische afghanische Ausdrücke gebe, welche Iraner nicht verstehen würden, findet in den Protokollen keine Stütze. In diesen sind keinerlei Hinweise vorhanden, welche auf Verständigungsprobleme zwischen den Beschwerdeführenden 1 und 2 sowie den übersetzenden Personen hindeuten. Überdies lässt sich den Befragungsprotokollen entnehmen, dass die Beschwerdeführenden 1 und 2 die Sprache Farsi sehr gut beherrschen und sie die übersetzenden Personen gut verstanden haben (Akten BFM A 1/13, S. 2, 10; A 2/12, S. 2, 10; A 23/13, S. 2; A 24/12, S. 2 f.). Die sinngemässe Behauptung in der Beschwerde respektive der Beschwerdeergänzung bezüglich fehlerhafter Einträge in den Befragungsprotokollen findet somit in den Akten keine Stütze und ist daher lediglich als Schutzbehauptung der Beschwerdeführenden 1 und 2 zu werten, um ihre widersprüchlichen Aussagen zu rechtfertigen.</w:t>
      </w:r>
    </w:p>
    <w:p>
      <w:r>
        <w:rPr>
          <w:b/>
        </w:rPr>
        <w:t>E. 5.2</w:t>
      </w:r>
    </w:p>
    <w:p>
      <w:r>
        <w:t>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5.3</w:t>
      </w:r>
    </w:p>
    <w:p>
      <w:r>
        <w:t>Nach Prüfung der Akten durch das Gericht ist - in Übereinstimmung mit der Vorinstanz - festzustellen, dass sich die Beschwerdeführenden 1 und 2 im Laufe des Asylverfahrens zu ihren Asylvorbringen in wesentlichen Punkten widersprüchlich geäussert haben. So sagte der Beschwerdeführende 1 anlässlich der Kurzbefragung aus, an den Tagen nach der Entführung durch die vier Männer habe er wieder gearbeitet (Akten BFM A 2/12, S. 7), während er bei der Anhörung geltend machte, nach dem Ereignis mit den vier Männern sei er fünf Tage zu Hause geblieben, da es ihm nicht gut gegangen sei und er sich habe erholen wollen (Akten BFM A 24/12, S. 6). Zudem gab er anlässlich der Anhörung zuerst zu Protokoll, als er mit dem Auto in den Strassengraben gefahren sei und die vier Männer geflohen seien, habe sich die Polizei ganz in der Nähe aufgehalten. Dennoch habe er keine Anzeige erstattet, da er das Kennzeichen des Autos, mit dem die Entführer geflohen seien, nicht gesehen habe (Akten BFM A 24/12, S. 6). Demgegenüber führte er wenig später in der Anhörung aus, er habe gegen die Entführer Anzeige erstatten wollen, was ihm jedoch nicht möglich gewesen sei, da er weit hätte fahren müssen, um zur Polizei zu gelangen (Akten BFM A 24/12, S. 9). Abgesehen davon, dass diese Erklärung das Gericht nicht zu überzeugen vermag, ist mit der Vorinstanz festzustellen, dass der Beschwerdeführende 1 einen der Angreifer auf dem Foto erkannt haben will und dementsprechend hätte Anzeige erstatten können. Überdies schilderte der Beschwerdeführende 1 den Inhalt der SMS-Nachricht, die er auf dem Handy seiner Frau gelesen haben will, in widersprüchlicher Weise. So sagte er anlässlich der Kurzbefragung aus, die SMS-Nachricht habe begonnen mit: "Como sta tuo marito?" (Akten BFM A 2/12, S. 7), wohingegen er bei der Anhörung geltend machte, der Anfang der SMS-Nachricht habe gelautet: "Como sta il vostro paziente?" (Akten BFM A 24/12, S. 6). Es ist davon auszugehen, dass der Beschwerdeführende 1 den Anfangssatz der betreffenden SMS-Nachricht übereinstimmend hätte wiedergeben können, hätten sich die Ereignisse tatsächlich wie behauptet zugetragen. Die Beschwerdeführende 2 sagte anlässlich der Kurzbefragung aus, P._______, einer ihrer Ex-Schwager, habe sie nach der Hochzeit mit ihrem zweiten Ehemann immer nur per Telefon bedroht (Akten BFM A 1/13, S. 8), während sie bei der Anhörung vorbrachte, ihre Ex-Schwager hätten sie nach der Hochzeit mit ihrem zweiten Ehemann nie angerufen (Akten BFM A 23/13, S. 7). Zudem machte die Beschwerdeführende 2 anlässlich der Kurzbefragung geltend, sie sei von allen ihren Ex-Schwagern bedroht worden (Akten BFM A 1/13, S. 8), wohingegen sie bei der Anhörung zu Protokoll gab, U._______, einer ihrer Ex-Schwager, habe sie nicht bedroht (Akten BFM A 23/13, S. 8). Überdies sagte sie anlässlich der Anhörung aus, ihre Ex-Schwager hätten ihr durch dritte Personen ihre Missbilligung über ihre Hochzeit mit ihrem zweiten Ehemann ausrichten lassen (Akten BFM A 23/13, S. 4), was sie bei der Kurzbefragung noch mit keinem Wort erwähnte, obwohl sie damals ausreichend Gelegenheit dazu hatte. Es ist insgesamt festzustellen, dass sich die Beschwerdeführenden 1 und 2 in widersprüchlicher und unklarer Weise zur behaupteten Bedrohung durch die Ex-Schwager der Beschwerdeführenden 2 geäussert haben. Widersprüchlich äusserten sich die Beschwerdeführenden 1 und 2 auch hinsichtlich des geltend gemachten Ereignisses mit den Taliban in der Provinz M._______. Während der Beschwerdeführende 1 vorbrachte, die Taliban hätten ihm gesagt, dass entweder er oder R._______, der älteste Sohn seiner zweiten Frau, sich bei ihnen melden müsse, um mit ihnen gegen die Amerikaner zu kämpfen (Akten BFM A 2/12, S. 8; A 24/12, S. 7), gab die Beschwerdeführende 2 lediglich zu Protokoll, die Taliban hätten ihren Sohn R._______ mitnehmen wollen (Akten BFM A 1/13, S. 9; A 23/13, S. 5). Nicht plausibel ist zudem die Aussage der Beschwerdeführenden 1 und 2, wonach sie erst im September 2008 in die Provinz M._______ gezogen seien, zumal sie angeblich bereits am 24. Januar 2008 geheiratet haben, seither bedroht worden sein wollen und der Beschwerdeführende 1 schon zirka zwei Monate nach der Hochzeit, das heisst Ende März/Anfang April 2008, von einem Ex-Schwager der Beschwerdeführenden 2 entführt und misshandelt worden sein soll. Es ist anzunehmen, dass die Beschwerdeführenden N._______ schon viel eher verlassen hätten, wären sie tatsächlich - wie behauptet - von den Ex-Schwagern der Beschwerdeführenden 2 bedroht worden. In ihrem Schreiben vom 16. Juli 2009 beantragen die Beschwerdeführenden, es sei V._______, die ehemalige Vorgesetzte der Beschwerdeführenden 2 bei Caritas Germany, als Auskunftsperson anzuhören. Da V._______ gemäss den eigenen Aussagen der Beschwerdeführenden über die Probleme der Beschwerdeführenden 2 keine "genaue" Kenntnis hat, kann darauf verzichtet werden, V._______ als Auskunftsperson zu befragen (antizipierte Beweiswürdigung; Fritz Gygi, Bundesverwaltungsrechtspflege, 2. Aufl., Bern 1983, S. 274; BGE 130 II 425 E. 2.1, BVGE 2008/24 E. 7.2 S. 357), weshalb der diesbezügliche Beweisantrag abzuweisen ist. Gestützt auf das vorstehend Ausgeführte - insbesondere aufgrund der offensichtlichen Widersprüche in den Aussagen der Beschwerdeführenden 1 und 2 - ist zu schliessen, dass es sich bei der von ihnen geltend gemachten Verfolgung durch die Ex-Schwager der Beschwerdeführenden 2 sowie die Taliban lediglich um ein Konstrukt handelt. An dieser Einschätzung vermag auch das Vorbringen der Beschwerdeführenden in ihrem Schreiben vom 16. Juli 2009 nichts zu ändern, wonach es in Afghanistan üblich sei, dass eine hinterbliebene Ehefrau an einen Schwager weiterverheiratet werde, zumal alleine daraus nicht abgeleitet werden kann, dass die Beschwerdeführenden in Afghanistan verfolgt werden. Sofern die Beschwerdeführende 2 in der Beschwerdeergänzung geltend macht, sie könne ihr Land in Afghanistan nicht nutzen, weil zwei Kommandanten, die dieses Gebiet kontrollierten, ihr Land beanspruchen würden, ist festzustellen, dass dieses Vorbringen als nachgeschoben und damit unglaubhaft zu beurteilen ist, zumal sie Derartiges anlässlich der Befragungen mit keinem Wort erwähnte. Gleich verhält es sich mit ihrer Behauptung in der Beschwerdeergänzung, wonach sie als Mitarbeiterin eines Hilfswerks weiteren Gefahren ausgesetzt sei, da sie sich als Frau übermässig eingesetzt habe.</w:t>
      </w:r>
    </w:p>
    <w:p>
      <w:r>
        <w:rPr>
          <w:b/>
        </w:rPr>
        <w:t>E. 5.4</w:t>
      </w:r>
    </w:p>
    <w:p>
      <w:r>
        <w:t>Zusammenfassend ist somit festzustellen, dass es den Beschwerdeführenden nicht gelungen ist, nachzuweisen oder glaubhaft zu machen, dass sie in der Heimat ernsthafte Nachteile gemäss Art. 3 AsylG erlitten haben oder solche bei der Ausreise zu befürchten hatte oder im Falle einer Rückkehr nach Afghanistan befürchten müssten. Nach dem Gesagten erübrigt es sich, auf die Ausführungen und Einwände in den Eingaben der Beschwerdeführenden beziehungsweise die eingereichten Beweismittel weiter einzugehen, weil sie nicht zu einer von der Vorinstanz veränderten Betrachtungsweise führen. Das BFM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2009/51 E. 5.1).</w:t>
      </w:r>
    </w:p>
    <w:p>
      <w:r>
        <w:rPr>
          <w:b/>
        </w:rPr>
        <w:t>E. 7.1</w:t>
      </w:r>
    </w:p>
    <w:p>
      <w:r>
        <w:t>Mit Verfügung vom 15 Januar 2010 wurden die Beschwerdeführenden von der Vorinstanz wiedererwägungsweise vorläufig aufgenommen, so dass die Anordnungen des Bundesamtes betreffend den Vollzug der Wegweisung (Ziffern 4 und 5 des Dispositivs der angefochtenen Verfügung) gegenstandslos geworden sind. Die Beschwerde ist somit zufolge Wegfalls des Streitgegenstandes insofern gegenstandslos geworden, als darin die Aufhebung der Verfügung vom 4. Juni 2009 im Umfange des Vollzugs der Wegweisung beantragt wurde. Es erübrigt sich daher, auf die Vorbringen in den Eingaben der Beschwerdeführenden hinsichtlich des Wegweisungsvollzuges einzugehen.</w:t>
      </w:r>
    </w:p>
    <w:p>
      <w:r>
        <w:rPr>
          <w:b/>
        </w:rPr>
        <w:t>E. 7.2</w:t>
      </w:r>
    </w:p>
    <w:p>
      <w:r>
        <w:t>Aus diesen Erwägungen ergibt sich, dass die angefochtene Verfügung hinsichtlich der Nichterfüllung der Flüchtlingseigenschaft, der Ablehnung der Asylgesuche sowie der Anordnung der Wegweisung Bundesrecht nicht verletzt, den rechtserheblichen Sachverhalt richtig und vollständig feststellt und angemessen ist (Art. 106 AsylG). Die Verfügung der Vorinstanz vom 4. Juni 2009 ist demzufolge in Bezug auf die Nichterfüllung der Flüchtlingseigenschaft, der Abweisung des Asyls und der Anordnung der Wegweisung zu bestätigen und die Beschwerde abzuweisen. Hinsichtlich des Vollzugs der Wegweisung ist sie jedoch als gegenstandslos geworden abzuschreiben.</w:t>
      </w:r>
    </w:p>
    <w:p>
      <w:r>
        <w:rPr>
          <w:b/>
        </w:rPr>
        <w:t>E. 8.1</w:t>
      </w:r>
    </w:p>
    <w:p>
      <w:r>
        <w:t>Nach dem Gesagten sind die Beschwerdeführenden im Hauptpunkt als unterlegene Partei anzusehen.</w:t>
      </w:r>
    </w:p>
    <w:p>
      <w:r>
        <w:rPr>
          <w:b/>
        </w:rPr>
        <w:t>E. 8.2</w:t>
      </w:r>
    </w:p>
    <w:p>
      <w:r>
        <w:t>Die Beschwerdeführenden beantragen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w:t>
      </w:r>
    </w:p>
    <w:p>
      <w:r>
        <w:rPr>
          <w:b/>
        </w:rPr>
        <w:t>E. 8.3</w:t>
      </w:r>
    </w:p>
    <w:p>
      <w:r>
        <w:t>Aus der Datenbank des "Zentralen Migrationsinformationssystems" des BFM (ZEMIS, vgl. ZEMIS-Verordnung vom 12. April 2006 [SR 142.513]) ist ersichtlich, dass der Beschwerdeführende 1 seit Juni 2011 erwerbstätig ist, weshalb die Beschwerdeführenden nicht als bedürftig zu erachten sind. Mangels Erfüllen der kumulativen Voraussetzungen von Art. 65 Abs. 1 VwVG (bedürftig/nicht aussichtslos) ist das Gesuch um Gewährung der unentgeltlichen Rechtspflege abzuweisen.</w:t>
      </w:r>
    </w:p>
    <w:p>
      <w:r>
        <w:rPr>
          <w:b/>
        </w:rPr>
        <w:t>E. 8.4</w:t>
      </w:r>
    </w:p>
    <w:p>
      <w:r>
        <w:t>Bei diesem Ausgang des Verfahrens sind die Kosten praxisgemäss zur Hälfte, ausmachend Fr. 300.-, den Beschwerdeführenden aufzuerlegen (Art. 1-3 des Reglements vom 21. Februar 2008 über die Kosten und Entschädigungen vor dem Bundesverwaltungsgericht [VGKE, SR 173.320.2]).</w:t>
      </w:r>
    </w:p>
    <w:p>
      <w:r>
        <w:rPr>
          <w:b/>
        </w:rPr>
        <w:t>E. 9.1</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im Eventualbegehren durch die wiedererwägungsweise Gewährung der vorläufigen Aufnahme durch das BFM herbeigeführt wurde. Den vertretenen Beschwerdeführenden ist folglich eine wegen des nur teilweisen Obsiegens reduzierte Parteientschädigung zu Lasten der Vorinstanz zuzusprechen (Art. 64 Abs. 1 VwVG und Art. 7 Abs. 2 VGKE).</w:t>
      </w:r>
    </w:p>
    <w:p>
      <w:r>
        <w:rPr>
          <w:b/>
        </w:rPr>
        <w:t>E. 9.2</w:t>
      </w:r>
    </w:p>
    <w:p>
      <w:r>
        <w:t>Nachdem die Rechtsvertreterin keine Kostennote zu den Akten gereicht hat, ist auf die Einforderung einer solchen zu Gunsten einer Festsetzung aufgrund der Akten zu verzichten (vgl. Art. 14 Abs. 2 VGKE), zumal sich diese mit hinreichender Zuverlässigkeit abschätzen lässt. Unter Berücksichtigung der massgebenden Bemessungssfaktoren (Art. 9-11 und 13 VGKE) sowie des bloss teilweise Obsiegens ist die praxisgemäss um die Hälfte zu reduzierende Parteientschädigung auf Fr. 500.- (inklusive Auslagen und allfälliger Mehrwertsteuer) festzusetzen. Das BFM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