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D-4350/2023 vom 12. September 2025</w:t>
      </w:r>
    </w:p>
    <w:p>
      <w:r>
        <w:t>Bundesverwaltungsgericht, 2025-09-12, DE</w:t>
      </w:r>
    </w:p>
    <w:p>
      <w:r>
        <w:rPr>
          <w:b/>
        </w:rPr>
        <w:t xml:space="preserve">Quelle: </w:t>
      </w:r>
      <w:r>
        <w:t>https://mcp.opencaselaw.ch/entscheid/bvger_D-4350_2023</w:t>
      </w:r>
    </w:p>
    <w:p>
      <w:r>
        <w:t>FR: TAF D-4350/2023 du 12 septembre 2025</w:t>
      </w:r>
    </w:p>
    <w:p>
      <w:r>
        <w:t>IT: TAF D-4350/2023 del 12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w:t>
      </w:r>
    </w:p>
    <w:p>
      <w:r>
        <w:t>D-4350/2023 Seite 7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2.1</w:t>
      </w:r>
    </w:p>
    <w:p>
      <w:r>
        <w:t>Die Kognition des Bundesverwaltungsgerichts und die zulässigen Rü- gen richten sich im Bereich des Ausländerrechts nach Art. 49 VwVG.</w:t>
      </w:r>
    </w:p>
    <w:p>
      <w:r>
        <w:rPr>
          <w:b/>
        </w:rPr>
        <w:t>E. 2.2</w:t>
      </w:r>
    </w:p>
    <w:p>
      <w:r>
        <w:t>Die Begründung der Begehren bindet die Beschwerdeinstanz in kei- nem Fall (Art. 62 Abs. 4 VwVG). Im Rahmen seiner Kognition kann das Gericht die Beschwerde auch aus anderen als den geltend gemachten Gründen gutheissen oder den angefochtenen Entscheid im Ergebnis mit einer Begründung bestätigen, die von jener der Vorinstanz abweicht (vgl. BVGE 2009/61 E. 6.1; 2007/41 E. 2).</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w:t>
      </w:r>
    </w:p>
    <w:p>
      <w:r>
        <w:rPr>
          <w:b/>
        </w:rPr>
        <w:t>E. 4</w:t>
      </w:r>
    </w:p>
    <w:p>
      <w:r>
        <w:t>Die Beschwerde richtet sich lediglich gegen die angeordnete Wegweisung sowie den Wegweisungsvollzug (Dispositivziffern 3–5 der angefochtenen Verfügung). Demnach ist die vorinstanzliche Verfügung in Rechtskraft er- wachsen, soweit sie die Frage der Flüchtlingseigenschaft und des Asyls betrifft. Gegenstand des vorliegenden Beschwerdeverfahrens bilden dem- nach die Fragen, ob das SEM die Wegweisung sowie den Wegweisungs- vollzug zu Recht angeordnet hat.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insbesondere weder über eine auslän- derrechtliche Aufenthaltsbewilligung noch über einen Anspruch auf</w:t>
      </w:r>
    </w:p>
    <w:p>
      <w:r>
        <w:t>D-4350/2023 Seite 8 Erteilung einer solchen. Die Wegweisung wurde demnach zu Recht ange- ordnet (vgl. BVGE 2013/37 E. 4.4; 2009/50 E. 9, je m.w.H.).</w:t>
      </w:r>
    </w:p>
    <w:p>
      <w:r>
        <w:rPr>
          <w:b/>
        </w:rPr>
        <w:t>E. 6</w:t>
      </w:r>
    </w:p>
    <w:p>
      <w:r>
        <w:t>Ist der Vollzug der Wegweisung nicht zulässig, nicht zumutbar oder nicht möglich, so regelt das SEM das Anwesenheitsverhältnis nach den gesetz- lichen Bestimmungen über die vorläufige Aufnahme (Art. 44 AsylG; Art. 83 Abs. 1 AIG [SR 142.20]).</w:t>
      </w:r>
    </w:p>
    <w:p>
      <w:r>
        <w:rPr>
          <w:b/>
        </w:rPr>
        <w:t>E. 7.1</w:t>
      </w:r>
    </w:p>
    <w:p>
      <w:r>
        <w:t>Mit Blick auf den verfügten Wegweisungsvollzug stellt das Bundesver- waltungsgericht fest, dass das SEM allfällige Wegweisungsvollzugshinder- nisse lediglich in Bezug auf Burundi – nicht aber in Bezug auf Kongo (Kinshasa) – prüfte, obwohl als Hauptidentität der Beschwerdeführerin im ZEMIS, ebenso wie im Rubrum der angefochtenen Verfügung, lediglich Kongo (Kinshasa) – nicht aber Burundi – als Staatsangehörigkeit geführt wird. Fraglich ist, ob das SEM mit diesem Vorgehen den Untersuchungs- grundsatz beziehungsweise seine Begründungspflicht verletzt hat.</w:t>
      </w:r>
    </w:p>
    <w:p>
      <w:r>
        <w:rPr>
          <w:b/>
        </w:rPr>
        <w:t>E. 7.1.1</w:t>
      </w:r>
    </w:p>
    <w:p>
      <w:r>
        <w:t>Das Verwaltungs-, wie auch das Asylverfahren wird vom Untersu- chungsgrundsatz beherrscht (Art. 12 VwVG i.V.m. Art. 6 AsylG). Demnach hat die Behörde von Amtes wegen für die richtige und vollständige Abklä- 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 widriger Sachverhalt zugrunde gelegt wird, etwa, weil die Rechtserheblich- keit einer Tatsache zu Unrecht verneint wird und folglich nicht alle ent- scheidwesentlichen Gesichtspunkte des Sachverhalts geprüft werden, oder weil Beweise falsch gewürdigt wurden. Unvollständig ist die Sachver- haltsfeststellung, wenn nicht alle für den Entscheid rechtsrelevanten Sa- chumstände berücksichtigt wurden (vgl. BVGE 2015/10, E. 3.2 m.w.H.).</w:t>
      </w:r>
    </w:p>
    <w:p>
      <w:r>
        <w:rPr>
          <w:b/>
        </w:rPr>
        <w:t>E. 7.1.2</w:t>
      </w:r>
    </w:p>
    <w:p>
      <w:r>
        <w:t>Die Begründungspflicht ergibt sich aus dem in Art. 29 Abs. 2 BV nor- mierten Anspruch auf rechtliches Gehör und ist in Art. 35 Abs. 1 VwVG aus- drücklich geregelt. Die Begründung eines Verwaltungsakts oder eines Ent- scheids muss so abgefasst sein, dass die betroffene Person ihn gegebe- nenfalls sachgerecht anfechten kann. Dies ist nur möglich, wenn sich so- wohl die Betroffenen als auch die Rechtsmittelinstanzen über die Tragweite des Entscheids ein Bild machen können. In diesem Sinne müssen wenigs- tens kurz die Überlegungen genannt werden, von denen sich die Behörde</w:t>
      </w:r>
    </w:p>
    <w:p>
      <w:r>
        <w:t>D-4350/2023 Seite 9 hat leiten lassen und auf die sich ihr Entscheid stützt (vgl. statt vieler BVGE 2012/24 E. 3.2.1 m.w.H.).</w:t>
      </w:r>
    </w:p>
    <w:p>
      <w:r>
        <w:rPr>
          <w:b/>
        </w:rPr>
        <w:t>E. 7.2.1</w:t>
      </w:r>
    </w:p>
    <w:p>
      <w:r>
        <w:t>Die Vorinstanz führt zur Erfüllung ihrer gesetzlichen Aufgaben das ZEMIS, welches der Bearbeitung von Personendaten aus dem Ausländer- und dem Asylbereich dient (vgl. Art. 1 Abs. 1 i.V.m. Art. 2 des Bundesge- setzes über das Informationssystem für den Ausländer- und den Asylbe- reich, BGIAA [SR. 142.51]) und in der Verordnung über das Zentrale Mig- rationsinformationssystem vom 12. April 2006 (SR 142.513; ZEMIS-Ver- ordnung) näher geregelt ist.</w:t>
      </w:r>
    </w:p>
    <w:p>
      <w:r>
        <w:rPr>
          <w:b/>
        </w:rPr>
        <w:t>E. 7.2.2</w:t>
      </w:r>
    </w:p>
    <w:p>
      <w:r>
        <w:t>Wer Personendaten bearbeitet, hat sich über deren Richtigkeit zu vergewissern (Art. 6 Abs. 5 DSG). Werden Personendaten von Bundesor- ganen bearbeitet, kann jede betroffene Person insbesondere verlangen, dass unrichtige Personendaten berichtigt werden (Art. 41 Abs. 2 DSG i.V.m. Art. 6 BGIAA). Auf die Berichtigung besteht in einem solchen Fall ein absoluter und uneingeschränkter Anspruch (vgl. BVGE 2013/30 E. 4.1 m.w.H. sowie BVGE 2018 VI/3 m.H.; vgl. ferner Urteil des Bundesgerichts [BGer] 1C_224/2014 vom 25. September 2014 E. 3.1). Die ZEMIS-Verord- nung sieht im Übrigen in Art. 19 Abs. 3 ausdrücklich vor, dass unrichtige Daten von Amtes wegen zu berichtigen sind.</w:t>
      </w:r>
    </w:p>
    <w:p>
      <w:r>
        <w:rPr>
          <w:b/>
        </w:rPr>
        <w:t>E. 7.2.3</w:t>
      </w:r>
    </w:p>
    <w:p>
      <w:r>
        <w:t>Gemäss Art. 19 Abs. 1 ZEMIS-Verordnung i.V.m. Art. 5 VwVG, Art. 6 Abs. 5 und 41 Abs. 2 DSG sowie Art. 6 Abs. 1 BGIAA ist der Erlass einer Verfügung im Sinne von Art. 5 VwVG zwingend, damit (fälschlicherweise) berichtigte Daten im ZEMIS angefochten werden können (vgl. Urteil des BVGer D-3356/2022 vom 14. Oktober 2022 E. 6.1).</w:t>
      </w:r>
    </w:p>
    <w:p>
      <w:r>
        <w:rPr>
          <w:b/>
        </w:rPr>
        <w:t>E. 7.3.1</w:t>
      </w:r>
    </w:p>
    <w:p>
      <w:r>
        <w:t>Das Bundesverwaltungsgericht stellt fest, dass die Vorinstanz den Ersteintrag im ZEMIS am 23. November 2022 erfasste. Im Nachgang an die Anpassung des Geburtsdatums in der Hauptidentität der Beschwerde- führerin aufgrund der Resultate des forensischen Gutachtens zur Alters- schätzung vom 10. Februar 2023 erliess das SEM am 23. Mai 2023 – in Übereinstimmung mit den gesetzlichen Vorgaben – eine anfechtbare Ver- fügung (vgl. SEM-eAkte […]-41/13). Darin verfügte das SEM die Anpas- sung des Geburtsdatums unter Anbringung eines Bestreitungsvermerks lautend auf den (…) Januar 2004. Die Staatsangehörigkeit lautend auf Kongo (Kinshasa) blieb unverändert. Nachdem diese Verfügung unange- fochten geblieben ist, erwuchs sie am 22. Juni 2023 in Rechtskraft.</w:t>
      </w:r>
    </w:p>
    <w:p>
      <w:r>
        <w:t>D-4350/2023 Seite 10</w:t>
      </w:r>
    </w:p>
    <w:p>
      <w:r>
        <w:rPr>
          <w:b/>
        </w:rPr>
        <w:t>E. 7.3.2</w:t>
      </w:r>
    </w:p>
    <w:p>
      <w:r>
        <w:t>Mittels Mutationsformular vom 29. Juni 2023 beauftragte das SEM seinen Dienst Datenmanagement Asyl und Rückkehr (DDAR), die Staats- angehörigkeit in der Hauptidentität der Beschwerdeführerin lautend auf Kongo (Kinshasa) und Burundi zu erfassen, dies aufgrund weiterer Infor- mationen der Beschwerdeführerin in der Anhörung (vgl. SEM-eAkte […]- 48/2). Gemäss der Weisung des SEM Nr. 01/2022 zur Erfassung und Än- derung von Personendaten im ZEMIS vom 1. Juli 2022 (nachfolgend Wei- sung Nr. 01/2022) ist bei Personen mit mehreren Staatsangehörigkeiten die (gesicherte) Identität mit der Staatsangehörigkeit, welche der Person die bessere Rechtsstellung vermittelt, als Hauptidentität zu erfassen; die Identität mit der weiteren Staatsangehörigkeit ist im Bereich AIG im dafür vorgesehenen Feld «2. Staatsangehörigkeit» zu erfassen, im Bereich Asyl existiert ein solches Feld nicht und eine weitere Staatsangehörigkeit ist deshalb als Nebenidentität zu erfassen (vgl. Weisung Nr. 01/2022, Ziff. 3.3, S. 6). Zwar wurde am 29. Juni 2023 im Asylbereich des ZEMIS eine Nebe- nidentität der Beschwerdeführerin mit der Staatsangehörigkeit Burundi ein- getragen, im Ausländerbereich wurde jedoch keine zweite Staatsangehö- rigkeit erfasst.</w:t>
      </w:r>
    </w:p>
    <w:p>
      <w:r>
        <w:rPr>
          <w:b/>
        </w:rPr>
        <w:t>E. 7.3.3</w:t>
      </w:r>
    </w:p>
    <w:p>
      <w:r>
        <w:t>Diese verwaltungsinternen Vorgänge dürften zwar grundsätzlich keine Rechts(aussen)wirkungen zu entfalten vermögen; allerdings wäre das SEM – aufgrund von Art. 19 Abs. 1 ZEMIS-Verordnung i.V.m. Art. 5 VwVG, Art. 41 Abs. 2 DSG und Art. 6 Abs. 1 BGIAA – gehalten gewesen, die Anpassung der Personendaten der Beschwerdeführerin – namentlich die Aufnahme einer zweiten Staatsangehörigkeit – in einer anfechtbaren Verfügung zu erlassen. Tritt eine ZEMIS-Änderung in Rechtskraft – entwe- der aufgrund fehlender Anfechtung oder aufgrund eines Urteils des Bun- desverwaltungsgerichts –, besteht insofern eine grundsätzliche Akzessori- etät zwischen den Personendaten im ZEMIS und der Beurteilung der Fra- gen betreffend den Asyl- und Wegweisungspunkt, als dass sich sowohl die betroffene Person wie auch das SEM die Fiktion der Richtigkeit der im ZEMIS eingetragenen Personendaten entgegenhalten lassen müssen (vgl. Art. 6 Abs. 5 i.V.m. Art. 7 Abs. 2 BGIAA und Art. 19 Abs. 2 ZEMIS-Verord- nung). Demnach dürfen sowohl die betroffenen Personen wie auch die Be- hörden – und damit auch das Bundesverwaltungsgericht – grundsätzlich von der Richtigkeit der im ZEMIS erfassten Daten ausgehen.</w:t>
      </w:r>
    </w:p>
    <w:p>
      <w:r>
        <w:rPr>
          <w:b/>
        </w:rPr>
        <w:t>E. 7.3.4</w:t>
      </w:r>
    </w:p>
    <w:p>
      <w:r>
        <w:t>Zusätzlich ist festzustellen, dass die Beschwerdeführerin zwar selbst angab, sie verfüge auch über die burundische Staatsangehörigkeit bezie- hungsweise, sie habe entsprechende Papiere besessen (vgl. SEM-eAkte […]-12/12 [nachfolgend A12/12] F11.1, 4.02; SEM-eAkte […]-37/23</w:t>
      </w:r>
    </w:p>
    <w:p>
      <w:r>
        <w:t>D-4350/2023 Seite 11 [nachfolgend A37/32] F21–25, 121 f.), sie liefert dazu weiter jedoch keine konkreten Angaben (vgl. insbesondere A12/12 F11.1, 4.02; A37/32 A24, 18 f., 21, 25); zudem stellen die eingereichten Dokumente – eine Identi- tätskarte sowie eine Sterbeurkunde ihrer Mutter – keine rechtsgenüglichen Identitätspapiere dar, die entgegen der im ZEMIS erfassten Hauptidentität (Demokratische Republik Kongo), zum Beleg geeignet sind, dass die Be- schwerdeführerin auch Staatsangehörige von Burundi ist. Festzuhalten ist zudem, dass auch ihr Bruder D._______ in seinem Asylverfahren als Staatsangehörigkeit diejenige der Demokratischen Republik Kongo angab (vgl. SEM-eAkten N […], A9). Darüber hinaus ist festzustellen, dass ge- mäss Art. 10 der Verfassung der Demokratischen Republik Kongo und Art. 1 des Gesetzes 04/024 über die kongolesische Staatsangehörigkeit vom 12. November 2004 die doppelte Staatsbürgerschaft in Kongo (Kinshasa) unzulässig ist (vgl. Constitution de la République Démocratique du Congo du 18 février 2006 &lt; https://www.ecoi.net/en/file/lo- cal/1345156/1504_1216030562_constitution-de-la-republique-democra- tique-du-congo.pdf &gt;; Loi n°04/024 du 12 novembre 2004 relative à la na- tionalité congolaise &lt; https://www.ecoi.net/en/file/local/1120518/1504_- 1216033297_loi-du-12-novembre-2004-relative-a-la-nationalite-congo- laise.pdf &gt;, beide abgerufen am 02.09.2025). Demnach erscheint es – ent- gegen der Ansicht des SEM, aber in Übereinstimmung mit dem am 23. Mai 2023 verfügten und am 22. Juni 2023 in Rechtskraft erwachsenen ZEMIS- Eintrag – insgesamt nicht hinreichend gesichert, dass die Beschwerdefüh- rerin eine kongolesisch-burundische Doppelbürgerin ist.</w:t>
      </w:r>
    </w:p>
    <w:p>
      <w:r>
        <w:rPr>
          <w:b/>
        </w:rPr>
        <w:t>E. 7.3.5</w:t>
      </w:r>
    </w:p>
    <w:p>
      <w:r>
        <w:t>Aufgrund der Fiktion der Richtigkeit der Personendaten im ZEMIS (vgl. E. 7.3.3) und der Beweislage im vorliegenden Fall, erscheint die die vom SEM angenommene kongolesisch-burundische Doppelstaatsangehö- rigkeit nicht gesichert; aufgrund der Aktenlage erscheint es vielmehr wahr- scheinlicher, dass von der (einfachen) Staatsangehörigkeit der Beschwer- deführerin von Kongo (Kinshasa) auszugehen ist.</w:t>
      </w:r>
    </w:p>
    <w:p>
      <w:r>
        <w:rPr>
          <w:b/>
        </w:rPr>
        <w:t>E. 7.4</w:t>
      </w:r>
    </w:p>
    <w:p>
      <w:r>
        <w:t>Nach dem Gesagten wäre das SEM im Rahmen des Asylverfahrens der Beschwerdeführerin gehalten gewesen, abzuklären, ob die Beschwer- deführerin tatsächlich über eine burundisch-kongolesische Doppelstaats- angehörigkeit oder lediglich über die kongolesische Staatsangehörigkeit verfügt. Sollte das SEM feststellen, dass sie lediglich die kongolesische Staatsangehörigkeit besitzt, wäre der Vollzug der Wegweisung einzig in Bezug auf Kongo (Kinshasa) zu prüfen. Durch diese Versäumnisse hat das SEM nicht alle für den Entscheid rechtsrelevanten Sachumstände berück- sichtigt und den fraglichen Verwaltungsakt unbegründet belassen, wodurch</w:t>
      </w:r>
    </w:p>
    <w:p>
      <w:r>
        <w:t>D-4350/2023 Seite 12 es den Untersuchungsgrundsatz gemäss Art. 12 VwVG i.V.m. Art. 6 AsylG und seine Begründungspflicht im Sinne von Art. 29 Abs. 2 BV verletzt hat.</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Praxiskommentar Verwaltungsverfah- rensgesetz, 2. Aufl. 2016, Art 61 VwVG, N 16 S.1264). Die in diesen Fällen fehlende Entscheidreife kann grundsätzlich zwar auch die Beschwer- deinstanz selbst herstellen, wenn dies im Einzelfall aus prozessökonomi- schen Gründen angebracht erscheint; sie muss dies aber nicht tun, zumal der Beschwerdeführerin dadurch eine Instanz verloren ginge (vgl. BVGE 2015/10 E. 7.1).</w:t>
      </w:r>
    </w:p>
    <w:p>
      <w:r>
        <w:rPr>
          <w:b/>
        </w:rPr>
        <w:t>E. 8.2</w:t>
      </w:r>
    </w:p>
    <w:p>
      <w:r>
        <w:t>Eine Rückweisung der Sache ist angesichts der Verletzung der Unter- suchungs- und Begründungspflicht in Bezug auf die Feststellung der Staatsangehörigkeit der Beschwerdeführerin beziehungsweise der Prü- fung möglicher Vollzugshindernisse nach Kongo (Kinshasa) angezeigt; ein reformatorischer Entscheid fällt demnach ausser Betracht. Das SEM ist so- mit anzuweisen, den Vollzug der Wegweisung in Bezug auf Kongo (Kinshasa) zu prüfen und in der Sache neu zu entscheiden.</w:t>
      </w:r>
    </w:p>
    <w:p>
      <w:r>
        <w:rPr>
          <w:b/>
        </w:rPr>
        <w:t>E. 8.3</w:t>
      </w:r>
    </w:p>
    <w:p>
      <w:r>
        <w:t>Angesichts der Rückweisung der Sache erübrigt sich eine Auseinan- dersetzung mit den in reformatorischer Hinsicht gestellten Rechtsbegeh- ren.</w:t>
      </w:r>
    </w:p>
    <w:p>
      <w:r>
        <w:rPr>
          <w:b/>
        </w:rPr>
        <w:t>E. 8.4</w:t>
      </w:r>
    </w:p>
    <w:p>
      <w:r>
        <w:t>Nach dem Gesagten ist die Beschwerde gutzuheissen, soweit die Auf- hebung der Dispositionsziffern 4 und 5 angefochtenen Verfügung bean- tragt worden ist. Die Dispositionsziffern 4 und 5 der Verfügung des SEM vom 10. Juli 2023 sind aufzuheben und die Sache ist in dieser Hinsicht zur Neubeurteilung im Sinne der Erwägungen an die Vorinstanz zurückzuwei- sen.</w:t>
      </w:r>
    </w:p>
    <w:p>
      <w:r>
        <w:rPr>
          <w:b/>
        </w:rPr>
        <w:t>E. 9</w:t>
      </w:r>
    </w:p>
    <w:p>
      <w:r>
        <w:t>Angesichts des Verfahrensausgang erweisen sich die Gesuche um unent- geltliche Rechtspflege und amtliche Rechtsverbeiständung als gegen- standslos.</w:t>
      </w:r>
    </w:p>
    <w:p>
      <w:r>
        <w:t>D-4350/2023 Seite 13</w:t>
      </w:r>
    </w:p>
    <w:p>
      <w:r>
        <w:rPr>
          <w:b/>
        </w:rPr>
        <w:t>E. 10.1</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w:t>
      </w:r>
    </w:p>
    <w:p>
      <w:r>
        <w:rPr>
          <w:b/>
        </w:rPr>
        <w:t>E. 10.2</w:t>
      </w:r>
    </w:p>
    <w:p>
      <w:r>
        <w:t>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1'750.– zuzusprechen.</w:t>
      </w:r>
    </w:p>
    <w:p>
      <w:r>
        <w:t>(Dispositiv nächste Seite)</w:t>
      </w:r>
    </w:p>
    <w:p>
      <w:r>
        <w:t>D-4350/2023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