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D-4348/2016 vom 29. August 2017</w:t>
      </w:r>
    </w:p>
    <w:p>
      <w:r>
        <w:t>Bundesverwaltungsgericht, 2017-08-29, DE</w:t>
      </w:r>
    </w:p>
    <w:p>
      <w:r>
        <w:rPr>
          <w:b/>
        </w:rPr>
        <w:t xml:space="preserve">Quelle: </w:t>
      </w:r>
      <w:r>
        <w:t>https://mcp.opencaselaw.ch/entscheid/bvger_D-4348_2016</w:t>
      </w:r>
    </w:p>
    <w:p>
      <w:r>
        <w:t>FR: TAF D-4348/2016 du 29 août 2017</w:t>
      </w:r>
    </w:p>
    <w:p>
      <w:r>
        <w:t>IT: TAF D-4348/2016 del 29 agosto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Die Beschwerdeführerinnen haben am Verfahren vor der Vorinstanz teilgenommen, sind durch die angefochtene Verfügung besonders berührt und haben ein schutzwürdiges Interesse an deren Aufhebung beziehungsweise Änderung. Sie sind daher zur Einreichung der Beschwerde legitimiert (Art. 105 und 108 Abs. 2 AsylG; Art. 48 Abs. 1 sowie Art. 52 VwVG). Auf die Beschwerde ist einzutreten.</w:t>
      </w:r>
    </w:p>
    <w:p>
      <w:r>
        <w:rPr>
          <w:b/>
        </w:rPr>
        <w:t>E. 1.3</w:t>
      </w:r>
    </w:p>
    <w:p>
      <w:r>
        <w:t>Das vorliegende Verfahren wird koordiniert mit jenem von C._______ (D-4345/2016) behandelt.</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um eine solche, weshalb der Beschwerdeentscheid nur summarisch zu begründen ist (Art. 111a Abs. 2 AsylG). Gestützt auf Art. 111a Abs. 1 AsylG wurde vorliegend auf die Durchführung eines Schriftenwechsels verzichtet.</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4.1</w:t>
      </w:r>
    </w:p>
    <w:p>
      <w:r>
        <w:t>Das Bundesverwaltungsgericht hat im Urteil D-7853/2015 vom 31. Mai 2017 (als Referenzurteil publiziert)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a.a.O. E. 13).</w:t>
      </w:r>
    </w:p>
    <w:p>
      <w:r>
        <w:rPr>
          <w:b/>
        </w:rPr>
        <w:t>E. 4.2</w:t>
      </w:r>
    </w:p>
    <w:p>
      <w:r>
        <w:t>Aus denselben Gründen ist es dem Gericht auch vorliegend nicht möglich, die sich im Zusammenhang mit einer Überstellung nach Ungarn stellenden Fragen zu beurteilen. Die angefochtene Verfügung ist folglich aufzuheben und die Sache zur vollständigen Sachverhaltsfeststellung sowie zu neuer Entscheidung an die Vorinstanz zurückzuweisen.</w:t>
      </w:r>
    </w:p>
    <w:p>
      <w:r>
        <w:rPr>
          <w:b/>
        </w:rPr>
        <w:t>E. 5</w:t>
      </w:r>
    </w:p>
    <w:p>
      <w:r>
        <w:t>Die Beschwerde ist nach dem Gesagten gutzuheissen, soweit die Aufhebung der vorinstanzlichen Verfügung und Rückweisung der Sache beantragt wurde. Der Antrag, es sei der Beschwerde die aufschiebende Wirkung zu erteilen, wird damit gegenstandslos.</w:t>
      </w:r>
    </w:p>
    <w:p>
      <w:r>
        <w:rPr>
          <w:b/>
        </w:rPr>
        <w:t>E. 6.1</w:t>
      </w:r>
    </w:p>
    <w:p>
      <w:r>
        <w:t>Bei diesem Ausgang des Verfahrens sind keine Kosten zu erheben (Art. 63 Abs. 1 und 2 VwVG). Die Anträge auf Verzicht auf die Erhebung eines Kostenvorschusses sowie auf Gewährung der unentgeltlichen Rechtspflege werden damit ebenfalls gegenstandslos.</w:t>
      </w:r>
    </w:p>
    <w:p>
      <w:r>
        <w:rPr>
          <w:b/>
        </w:rPr>
        <w:t>E. 6.2</w:t>
      </w:r>
    </w:p>
    <w:p>
      <w:r>
        <w:t>Den vertretenen Beschwerdeführerinnen ist angesichts ihres Obsiegens in Anwendung von Art. 64 VwVG und Art. 7 Abs. 1 des Reglements vom 21. Februar 2008 über die Kosten und Entschädigungen vor dem Bundesverwaltungsgericht (VGKE, SR 173.320.2) eine Entschädigung für die ihnen notwendigerweise erwachsenen Parteikosten zuzusprechen. Gemäss der Kostennote vom 13. Juli 2016 werden ein zeitlicher Aufwand von insgesamt sechs Stunden bei einem Stundenansatz von Fr. 200.- und Auslagen in der Höhe von Fr. 15.-, mithin ein Gesamtaufwand von Fr. 1215.- geltend gemacht. Das Gericht erachtet den zeitlichen Aufwand insgesamt als überhöht, zumal es sich um eine standardisierte Eingabe handelt, die in ähnlicher Weise auch bei zahlreichen anderen Dublin-Ungarn-Fällen verfasst wurde. Den Beschwerdeführerinnen ist unter Berücksichtigung der Bemessungsgrundsätze nach Art. 7 ff. VGKE pauschal eine Parteientschädigung zu Lasten der Vorinstanz in der Höhe von Fr. 700.- (inkl. aller Auslagen)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