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D-4346/2015 vom 18. November 2016</w:t>
      </w:r>
    </w:p>
    <w:p>
      <w:r>
        <w:t>Bundesverwaltungsgericht, 2016-11-18, DE</w:t>
      </w:r>
    </w:p>
    <w:p>
      <w:r>
        <w:rPr>
          <w:b/>
        </w:rPr>
        <w:t xml:space="preserve">Quelle: </w:t>
      </w:r>
      <w:r>
        <w:t>https://mcp.opencaselaw.ch/entscheid/bvger_D-4346_2015</w:t>
      </w:r>
    </w:p>
    <w:p>
      <w:r>
        <w:t>FR: TAF D-4346/2015 du 18 novembre 2016</w:t>
      </w:r>
    </w:p>
    <w:p>
      <w:r>
        <w:t>IT: TAF D-4346/2015 del 18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Beschwerdeführerinnen bringen in ihrer Rechtsmitteleingabe zunächst verschiedene Verletzungen formellen Rechts vor. Konkret habe das SEM das rechtliche Gehör, insbesondere die Pflicht zur vollständigen und richtigen Abklärung des rechtserheblichen Sachverhalts verletzt, da es keine Abklärungen getroffen habe, ob die Wegweisung der Kinder, welche syrische Staatsbürgerinnen seien, nach Marokko möglich sei beziehungsweise, ob sicher sei, dass sie Marokko nicht in Richtung Syrien verlassen müssten. Die Beschwerdeführerinnen rügen ferner die Verletzung ihrer Verfahrensrechte, da bei der Kurzbefragung der Beschwerdeführerin kein Rechtsvertreter anwesend gewesen sei. Diese Rügen sind vorweg zu prüfen, da ein allenfalls ungenügend abgeklärter Sachverhalt eine materielle Beurteilung verunmöglichen würde.</w:t>
      </w:r>
    </w:p>
    <w:p>
      <w:r>
        <w:rPr>
          <w:b/>
        </w:rPr>
        <w:t>E. 4.1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Entscheidungen und Mitteilungen der Schweizerischen Asylrekurskommission [EMARK] 1995 Nr. 23 E. 5a S. 222).</w:t>
      </w:r>
    </w:p>
    <w:p>
      <w:r>
        <w:rPr>
          <w:b/>
        </w:rPr>
        <w:t>E. 4.2</w:t>
      </w:r>
    </w:p>
    <w:p>
      <w:r>
        <w:t>Vorliegend ging die Vorinstanz aufgrund der Parteiauskünfte (Art. 12 Bst. c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VwVG, Waldmann/Weissenberger (Hrsg.), 2. Aufl. 2016, Art. 49 N 40; Benjamin Schindler, in: Auer/Müller/Schindler (Hrsg.), Kommentar zum Bundesgesetz über das Verwaltungsverfahren (VwVG), 2008, Rz. 28 zu Art. 49; Urteil des BVGer D-6284/2013 vom 20. Februar 2014 mit weiteren Hinweisen). Die Vorinstanz gelangte nach einer gesamtheitlichen Würdigung der aktenkundigen Parteivorbringen zu einem anderen Schluss als die Beschwerdeführerinnen, was jedenfalls weder eine Verletzung des Untersuchungsgrundsatzes noch eine unvollständige Feststellung des rechtserheblichen Sachverhaltes darstellt. Zudem beruht der vorinstanzliche Entscheid auf einer laufenden Überprüfung und Einschätzung der aktuellen Situation in Marokko.</w:t>
      </w:r>
    </w:p>
    <w:p>
      <w:r>
        <w:rPr>
          <w:b/>
        </w:rPr>
        <w:t>E. 4.3</w:t>
      </w:r>
    </w:p>
    <w:p>
      <w:r>
        <w:t>Weiter ist bezüglich der gerügten Verletzung der Abklärungs- und Begründungspflicht anzuführen, dass die Vorinstanz in Beachtung des Grundsatzes des rechtlichen Gehörs (Art. 29 Abs. 2 BV, Art. 29 VwVG, Art. 32 Abs. 1 VwVG) die Vorbringen der erwachsenen Beschwerdeführerin tatsächlich hörte, sorgfältig und ernsthaft prüfte und in der Entscheidfindung berücksichtigte, was sich entsprechend in den betreffenden Erwägungen niederschlug. Die Vorinstanz legte im angefochtenen Entscheid in nachvollziehbarer Weise dar, aufgrund welcher Überlegungen die Vorbringen als asylirrelevant zu erachten seien, weshalb weitergehende Abklärungen als nicht nötig erachtet wurden. In diesem Zusammenhang ist festzuhalten, dass sich die verfügende Behörde nicht ausdrücklich mit jeder tatbeständlichen Behauptung und jedem rechtlichen Einwand auseinandersetzen muss, sondern sich auf die wesentlichen Gesichtspunkte beschränken darf (BGE 126 I 97 E. 2b). Es ergeben sich denn auch nach Prüfung der Akten keine hinreichenden Anhaltspunkte, welche den Schluss zulassen würden, das SEM habe den Sachverhalt unvollständig abgeklärt respektive die Begründungspflicht verletzt. Soweit sie in ihrer Rechtsmitteleingabe rügen, das SEM habe nicht speziell abgeklärt, ob eine Wegweisung der Kinder nach Marokko möglich sei, kann dieser Auffassung nicht gefolgt werden. So verzichtete es in seinen Erwägungen zwar darauf, sämtliche diesbezüglich relevanten Überlegungen explizit darzulegen, woraus jedoch keinesfalls auf eine bloss oberflächliche oder gar pauschale Würdigung geschlossen werden kann. Im Übrigen ist eine Verletzung der Begründungspflicht auch daher nicht zu erkennen, weil es den Beschwerdeführerinnen möglich war, sich ein Bild über die Tragweite des vorinstanzlichen Entscheides zu machen und diesen sachgerecht anzufechten (BGE 129 I 232 E. 3.2).</w:t>
      </w:r>
    </w:p>
    <w:p>
      <w:r>
        <w:rPr>
          <w:b/>
        </w:rPr>
        <w:t>E. 4.4</w:t>
      </w:r>
    </w:p>
    <w:p>
      <w:r>
        <w:t>Soweit die Beschwerdeführerinnen eine Verletzung ihrer Verfahrensrechte rügen, kann zur Vermeidung von Wiederholungen auf die diesbezüglichen Ausführungen in der Zwischenverfügung vom 3. August 2015 verwiesen werden.</w:t>
      </w:r>
    </w:p>
    <w:p>
      <w:r>
        <w:rPr>
          <w:b/>
        </w:rPr>
        <w:t>E. 4.5</w:t>
      </w:r>
    </w:p>
    <w:p>
      <w:r>
        <w:t>Das Vorbringen der Beschwerdeführerinnen, wonach bei der Kurzbefragung der erwachsenen Beschwerdeführerin kein Anwalt anwesend gewesen sei, stösst ins Leere. Weder hatte sie zu diesem Zeitpunkt bereits einen Anwalt beauftragt noch ist eine entsprechende Regelung gesetzlich vorgesehen.</w:t>
      </w:r>
    </w:p>
    <w:p>
      <w:r>
        <w:rPr>
          <w:b/>
        </w:rPr>
        <w:t>E. 4.6</w:t>
      </w:r>
    </w:p>
    <w:p>
      <w:r>
        <w:t>Zusammenfassend erweisen sich die verschiedenen Rügen der Verletzung formellen Rechts, insbesondere des rechtlichen Gehörs, als unbegründet. Der Antrag, es sei die angefochtene Verfügung aufzuheben und die Sache zur Abklärung und Feststellung des vollständigen und richtigen rechtserheblichen Sachverhalts und zur Neubeurteilung an das SEM zurückzuweisen, ist demzufolge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durch das Bundesverwaltungsgericht ist in Übereinstimmung mit der Vorinstanz festzustellen, dass die Asylvorbringen der Beschwerdeführenden im Zusammenhang mit der geltend gemachten Verfolgung vor der Ausreise aus Syrien den Anforderungen an die Flüchtlingseigenschaft gemäss Art. 3 AsylG nicht standzuhalten vermögen, weshalb diesbezüglich auf die zutreffenden Erwägungen des SEM in der angefochtenen Verfügung zu verweisen ist (vgl. vorstehend Bst. C.). Der Rechtsmitteleingabe sowie der Eingabe vom 14. September 2014 sind keine stichhaltigen Entgegnungen zu entnehmen, zumal die Beschwerdeführerinnen im Wesentlichen ihre bisherigen Vorbringen wiederholen und an deren Asylrelevanz festhalten. Auch das mit Eingabe vom 14. September 2015 dargelegt Erfordernis, wonach die Beschwerdeführerin ärztlicher Hilfe bedürfte, um den sexuellen Übergriff verarbeiten zu können, vermag zu keiner anderen Betrachtungsweise zu führen. Da selbst bei Wahrunterstellung des sexuellen Übergriffs im Drittland Syrien, der Beschwerdeführerin, welche Staatsangehörige von Marokko ist, kein asylrechtlich relevanter Nachteil entstanden ist.</w:t>
      </w:r>
    </w:p>
    <w:p>
      <w:r>
        <w:rPr>
          <w:b/>
        </w:rPr>
        <w:t>E. 6.2</w:t>
      </w:r>
    </w:p>
    <w:p>
      <w:r>
        <w:t>Im Übrigen führen die von der Beschwerdeführerin geltend gemachten psychischen Probleme zu keiner anderen Betrachtungsweise, da auch eine klare Diagnose einer Trauma bedingten psychischen Krankheit die Asylbehörden nicht zu binden vermag (vgl. BVGE 2015/11 E.7.2.1 ff. m.w.H.). Somit kann darauf verzichtet werden, weitere diesbezügliche Abklärungen zu treffen, und auch allfällig nachgereichte ärztlichen Berichte können daran nichts ändern, zumal mit psychiatrisch-psychotherapeutischen Mitteln nicht sicher erschlossen werden kann, ob tatsächlich in der Vorgeschichte ein Ereignis vorlag und wie dieses geartet war. Da psychische Symptome bezüglich ihrer Verursachung nicht spezifisch sind, erlaubt demnach die Symptomatologie keine Rekonstruktion der objektiven Seite des traumatisierenden Ereignisses.</w:t>
      </w:r>
    </w:p>
    <w:p>
      <w:r>
        <w:rPr>
          <w:b/>
        </w:rPr>
        <w:t>E. 6.3</w:t>
      </w:r>
    </w:p>
    <w:p>
      <w:r>
        <w:t>Unter Berücksichtigung der gesamten Umstände folgt, dass die Beschwerdeführerinnen keine Gründe nach Art. 3 AsylG nachweisen oder glaubhaft machen konnten. Das Staatssekretariat hat daher zu Recht die Flüchtlingseigenschaft der Beschwerdeführerinnen gemäss Art. 3 Abs. 1 und 2 AsylG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w:t>
      </w:r>
    </w:p>
    <w:p>
      <w:r>
        <w:t>Gemäss Art. 6 des marokkanischen Staatsangehörigkeitsgesetzes ist das Kind eines marokkanischen Vaters oder einer marokkanischen Mutter Marokkaner (Art. 6 des Dahir n° 1-58-250 (21 safar 1378) portant Code de la nationalité marocaine (B.O. 12 septembre 1958) abrufbar unter http://www.refworld.org/cgi-bin/texis/vtx/rwmain/opendocpdf.pdf?reldoc=y docid=550853cc4, zuletzt besucht am 9. November 2016). Gestützt auf diese gesetzliche Regelung geht das Gericht davon aus, dass die beiden Kinder der Beschwerdeführerin aufgrund ihrer Abstammung ebenfalls die marokkanische Staatsangehörigkeit besitzen.</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Marokko ist demnach unter dem Aspekt von Art. 5 AsylG rechtmässig. Sodann ergeben sich weder aus den Aussagen der Beschwerdeführerinnen noch aus den Akten Anhaltspunkte dafür, dass sie für den Fall einer Ausschaffung nach Marokko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Marokko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Hinsichtlich der allgemeinen Lage in Marokko ist anzumerken, dass es zwar in diesem Land in der jüngeren Vergangenheit auch vereinzelt zu Unruhen gekommen und die Polisario-Problematik nicht gelöst ist. Weder herrscht dort aber landesweit eine Bürgerkriegssituation noch eine Situation allgemeiner Gewalt, vielmehr ist Marokko eine beliebte touristische Destination. Es bleibt demnach zu prüfen, ob individuelle Gründe vorliegen, die eine Rückkehr der Beschwerdeführerinnen in ihrem Heimatstaat als unzumutbar erscheinen lassen. Insbesondere ist zu prüfen, ob die geltend gemachten psychischen Probleme der Beschwerdeführerin ein individuelles Vollzugshindernis bilden.</w:t>
      </w:r>
    </w:p>
    <w:p>
      <w:r>
        <w:rPr>
          <w:b/>
        </w:rPr>
        <w:t>E. 9.4.2</w:t>
      </w:r>
    </w:p>
    <w:p>
      <w:r>
        <w:t>Gemäss der unaufgefordert ins Recht gelegten Einladung vom 11. September 2015 für ein Abklärungsgespräch am 6. November 2015 möchte die Beschwerdeführerin die geltend gemachten psychischen Probleme in den Griff bekommen. Dafür ist allem Anschein nach eine Gesprächstherapie vorgesehen, denn es wurde in der Einladung empfohlen, eine Dolmetscherin beizuziehen. Die Frage, ob eine angemessene Behandlung in Marokko möglich wäre beziehungsweise ob die Patientin auf ein Leben in der Schweiz angewiesen sei, geht aus der Einladung nicht hervor und wurde auch bis dato nicht geltend gemacht. Dies unter anderem auch sicher deshalb, weil die Behandlungsoptionen im Herkunftsland nicht bekannt seien dürften und die bisherige Rechtspraxis zeigt, dass im Zusammenhang mit einer drohenden Rückführung, psychische Leiden oftmals weniger auf eine frühere Traumatisierung zurückzuführen sind, als vielmehr auf einen drohenden Verlust einer Lebensperspektive hier in der Schweiz. Für eine solche Annahme besteht vorliegend insofern Anlass, als die Beschwerdeführerin offenbar erst im September 2015, in zeitlicher Nähe mit dem definitiven Entscheid über ihren weiteren Verbleib in der Schweiz, ärztliche Hilfe in Anspruch nahm. Sollte die Beschwerdeführerin im Falle einer unfreiwilligen Rückkehr nach Marokko tatsächlich auf medizinische Betreuung angewiesen sein, so könnte sie dort grundsätzlich fachspezifische Behandlung in Anspruch nehmen. Nach den Erkenntnissen des Bundesverwaltungsgerichts gibt es in Marokko nebst sieben autonomen Psychiatriespitälern auch psychiatrische Abteilungen in Provinzspitälern (vgl. dazu Urteile des Bundesverwaltungsgerichts C-2617/2010 vom 8 Januar 2014 E. 7.4.5 mit weiteren Hinweisen). Es ist deshalb festzuhalten, dass der gesundheitliche Zustand der Beschwerdeführerin zu keiner anderen Betrachtungsweise zu führen vermag.</w:t>
      </w:r>
    </w:p>
    <w:p>
      <w:r>
        <w:rPr>
          <w:b/>
        </w:rPr>
        <w:t>E. 9.4.3</w:t>
      </w:r>
    </w:p>
    <w:p>
      <w:r>
        <w:t>Auch sind keine sonstigen individuellen Gründe ersichtlich, welche gegen die Zumutbarkeit einer Rückkehr der Beschwerdeführerinnen in ihre Heimat sprechen würden. Die erwachsene Beschwerdeführerin hat, abgesehen von ihrem zweijährigen Aufenthalt in Dubai, bis zu ihrer Übersiedelung nach Syrien in Marokko gelebt, weswegen sie mit den dortigen Lebensumständen bestens vertraut ist. Verbunden mit ihrer Sozialisation in Marokko ist von einem Bekannten- und Freundeskreis auszugehen, welcher sie und ihre Töchter ebenfalls bei der (Re ) Integration unterstützen kann. Gemäss ihren eigenen Aussagen hat die erwachsene Beschwerdeführerin die Hotelfachschule abgeschlossen und mehrjährige Arbeitserfahrung in der Gastronomie. Folglich ist davon auszugehen, dass sie aufgrund ihrer Ausbildung und ihrer Fachkenntnisse sowie gestützt auf die Tatsache, dass Marokko eine beliebte Feriendestination ist, ein Auskommen finden wird. Abgesehen davon ist festzuhalten, dass blosse soziale und wirtschaftliche Schwierigkeiten, von denen die ansässige Bevölkerung im Allgemeinen betroffen ist, nicht genügen, um eine Gefährdung im Sinne von Art. 83 Abs. 4 AuG darzustellen (vgl. BVGE 2008/34 E. 11.2.2). Im Rahmen einer Gesamtwürdigung sämtlicher Faktoren ist somit zusammenfassend festzuhalten, dass der Vollzug der Wegweisung der Beschwerdeführerinnen nach Marokko als zumutbar zu erachten ist. Da die Beschwerdevorbringen zu keiner anderen Betrachtungsweise führen, erübrigt es sich, weiter darauf einzugehen.</w:t>
      </w:r>
    </w:p>
    <w:p>
      <w:r>
        <w:rPr>
          <w:b/>
        </w:rPr>
        <w:t>E. 9.5</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Beschwerdeführerinnen aufzuerlegen (Art. 63 Abs. 1 VwVG) und auf insgesamt Fr. 600.- festzusetzen (Art. 1-3 des Reglements vom 21. Februar 2008 über die Kosten und Entschädigungen vor dem Bundesverwaltungsgericht [VGKE, SR 173.320.2]). Der am 12. August 2015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