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D-4345/2016 vom 29. August 2017</w:t>
      </w:r>
    </w:p>
    <w:p>
      <w:r>
        <w:t>Bundesverwaltungsgericht, 2017-08-29, DE</w:t>
      </w:r>
    </w:p>
    <w:p>
      <w:r>
        <w:rPr>
          <w:b/>
        </w:rPr>
        <w:t xml:space="preserve">Quelle: </w:t>
      </w:r>
      <w:r>
        <w:t>https://mcp.opencaselaw.ch/entscheid/bvger_D-4345_2016</w:t>
      </w:r>
    </w:p>
    <w:p>
      <w:r>
        <w:t>FR: TAF D-4345/2016 du 29 août 2017</w:t>
      </w:r>
    </w:p>
    <w:p>
      <w:r>
        <w:t>IT: TAF D-4345/2016 del 29 agosto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1.3</w:t>
      </w:r>
    </w:p>
    <w:p>
      <w:r>
        <w:t>Das vorliegende Verfahren wird koordiniert mit jenem von B._______ und C._______ (D-4348/2016) behandelt.</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 Gestützt auf Art. 111a Abs. 1 AsylG wurde vorliegend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Das Bundesverwaltungsgericht hat im Urteil D-7853/2015 vom 31. Mai 2017 (als Referenzurteil publiziert)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laufenden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Dublin-III-VO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a.a.O. E. 13).</w:t>
      </w:r>
    </w:p>
    <w:p>
      <w:r>
        <w:rPr>
          <w:b/>
        </w:rPr>
        <w:t>E. 4.2</w:t>
      </w:r>
    </w:p>
    <w:p>
      <w:r>
        <w:t>Aus denselben Gründen ist es dem 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w:t>
      </w:r>
    </w:p>
    <w:p>
      <w:r>
        <w:rPr>
          <w:b/>
        </w:rPr>
        <w:t>E. 5</w:t>
      </w:r>
    </w:p>
    <w:p>
      <w:r>
        <w:t>Die Beschwerde ist nach dem Gesagten gutzuheissen, soweit die Aufhebung der vorinstanzlichen Verfügung und Rückweisung der Sache beantragt wurde. Der Antrag, es sei der Beschwerde die aufschiebende Wirkung zu erteilen, wird damit gegenstandslos.</w:t>
      </w:r>
    </w:p>
    <w:p>
      <w:r>
        <w:rPr>
          <w:b/>
        </w:rPr>
        <w:t>E. 6.1</w:t>
      </w:r>
    </w:p>
    <w:p>
      <w:r>
        <w:t>Bei diesem Ausgang des Verfahrens sind keine Kosten zu erheben (Art. 63 Abs. 1 und 2 VwVG). Die Anträge auf Verzicht auf die Erhebung eines Kostenvorschusses sowie auf Gewährung der unentgeltlichen Rechtspflege werden damit ebenfalls gegenstandslos.</w:t>
      </w:r>
    </w:p>
    <w:p>
      <w:r>
        <w:rPr>
          <w:b/>
        </w:rPr>
        <w:t>E. 6.2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Gemäss der Kostennote vom 13. Juli 2016 werden ein zeitlicher Aufwand von insgesamt 5,25 Stunden bei einem Stundenansatz von Fr. 200.- und Auslagen in der Höhe von Fr. 15.-, mithin ein Gesamtaufwand von Fr. 1065.- geltend gemacht. Das Gericht erachtet den zeitlichen Aufwand insgesamt als überhöht, zumal es sich um eine standardisierte Eingabe handelt, die in ähnlicher Weise auch bei zahlreichen anderen Dublin-Ungarn-Fällen verfasst wurde. Dem Beschwerdeführer ist unter Berücksichtigung der Bemessungsgrundsätze nach Art. 7 ff. VGKE pauschal eine Parteientschädigung zu Lasten der Vorinstanz in der Höhe von Fr. 700.- (inkl. aller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