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D-4344/2024 vom 6. Juni 2024</w:t>
      </w:r>
    </w:p>
    <w:p>
      <w:r>
        <w:t>Bundesverwaltungsgericht, 2024-06-06, DE</w:t>
      </w:r>
    </w:p>
    <w:p>
      <w:r>
        <w:rPr>
          <w:b/>
        </w:rPr>
        <w:t xml:space="preserve">Quelle: </w:t>
      </w:r>
      <w:r>
        <w:t>https://mcp.opencaselaw.ch/entscheid/bvger_D-4344_2024_d20240606</w:t>
      </w:r>
    </w:p>
    <w:p>
      <w:r>
        <w:t>FR: TAF D-4344/2024 du 6 juin 2024</w:t>
      </w:r>
    </w:p>
    <w:p>
      <w:r>
        <w:t>IT: TAF D-4344/2024 del 6 giugno 2024</w:t>
      </w:r>
    </w:p>
    <w:p>
      <w:pPr>
        <w:pStyle w:val="Heading2"/>
      </w:pPr>
      <w:r>
        <w:t>Regeste</w:t>
      </w:r>
    </w:p>
    <w:p>
      <w:r>
        <w:t>Asyl und Wegweisung | Asyl und Wegweisung; Verfügung des SEM vom 6.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D-4344/2024 Seite 4</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D-4344/2024 Seite 5</w:t>
      </w:r>
    </w:p>
    <w:p>
      <w:r>
        <w:rPr>
          <w:b/>
        </w:rPr>
        <w:t>E. 5.1</w:t>
      </w:r>
    </w:p>
    <w:p>
      <w:r>
        <w:t>Die Vorinstanz stellte im angefochtenen Entscheid im Wesentlichen fest, Übergriffe durch Dritte oder Befürchtungen, künftig solchen ausge- setzt zu sein, seien nur dann flüchtlingsrechtlich relevant, wenn der Staat nicht schutzwillig oder schutzfähig sei. Zwar sei die familiäre Situation des Beschwerdeführers sicherlich schwierig und belastend, jedoch handle es sich dabei nicht um eine flüchtlingsrechtlich relevante Verfolgung und der Beschwerdeführer habe sich an die Behörden wenden können, um Schutz zu beantragen. Ausserdem sei es ihm selbst gelungen, sich der Situation zu entziehen, indem er eine Arbeit gefunden und seitens seines Arbeitge- bers Unterstützung erhalten habe. Ferner sei er auch von einem Onkel so- wie soweit möglich von seiner Mutter unterstützt worden. Betreffend die politischen Vorbringen führte die Vorinstanz aus, er habe geltend gemacht, zweimal im Rahmen von Razzien mitgenommen worden zu sein, wobei ihm beim letzten Mal gesagt worden sei, er solle nicht mehr posten. Hätten die Behörden ein ernsthaftes Interesse an seiner Person gehabt, wäre es kaum bei einer Verwarnung geblieben. Ausserdem habe er keinerlei Doku- mente eingereicht, die auf laufende Ermittlungen oder gar eine Fahndung hindeuten würden und es handle sich um eine reine Mutmassung seiner- seits, dass er bei einer Rückkehr festgenommen würde. Es sei somit nicht davon auszugehen, dass er bei einer Rückkehr etwas zu befürchten hätte. Ferner würden auch Zweifel an der Glaubhaftigkeit der diesbezüglichen Aussagen bestehen, zumal er nicht nachvollziehbar und substanziiert habe erklären können, wie es zu seinem Engagement für die HDP gekommen sei und was er dort genau gemacht habe. Auf den sozialen Medien würden sich ausserdem keine entsprechenden Einträge finden. Seine Vorbringen würden somit den Anforderungen an die Flüchtlingseigenschaft gemäss Art. 3 AsylG nicht standhalten, weshalb sein Asylgesuch abgewiesen werde.</w:t>
      </w:r>
    </w:p>
    <w:p>
      <w:r>
        <w:rPr>
          <w:b/>
        </w:rPr>
        <w:t>E. 5.2</w:t>
      </w:r>
    </w:p>
    <w:p>
      <w:r>
        <w:t>Dem wurde in der Beschwerde entgegengehalten, der Beschwerdefüh- rer sei als ethnischer Kurde und Alevit aus der Provinz Gaziantep in der Türkei vielfältigen Diskriminierungen und Gewalt ausgesetzt gewesen. Sein Stiefvater habe ihn körperlich und psychisch misshandelt, was schwere traumatische Erfahrungen hinterlassen habe. Ferner sei er mehr- mals Opfer von polizeilicher Gewalt geworden. Seine politischen Aktivitä- ten hätten ihn in den Fokus der türkischen Behörden gerückt.</w:t>
      </w:r>
    </w:p>
    <w:p>
      <w:r>
        <w:rPr>
          <w:b/>
        </w:rPr>
        <w:t>E. 6.1</w:t>
      </w:r>
    </w:p>
    <w:p>
      <w:r>
        <w:t>Nach Prüfung der Akten gelangt das Bundesverwaltungsgericht zum Schluss, dass die angefochtene Verfügung zu stützen ist. Die Vorinstanz</w:t>
      </w:r>
    </w:p>
    <w:p>
      <w:r>
        <w:t>D-4344/2024 Seite 6 ist darin mit ausführlicher, ausgewogener und überzeugender Begründung zum Schluss gelangt, dass die Vorbringen des Beschwerdeführers weder den Anforderungen an die flüchtlingsrechtliche Relevanz noch – in Bezug auf die politischen Aktivitäten – denjenigen an die Glaubhaftigkeit stand- halten. Die Beschwerde vermag dem nichts entgegenzusetzen, was zu ei- ner anderen Einschätzung führen würde, zumal sich die dortigen Ausfüh- rungen in einer kurzen Zusammenfassung seiner Vorbringen erschöpfen. Insbesondere ist die Vorinstanz in ihren Ausführungen zu stützen, wonach die Vorbringen betreffend den gewalttätigen Stiefvater nicht asylrelevant sind. Auch in Bezug auf die politischen Vorbringen ist mit dem SEM festzu- halten, dass diese sehr niederschwellig ausgefallen sein dürften, zumal es dem Beschwerdeführer weder gelingt, sich ausführlich dazu oder zu seiner politischen Motivation zu äussern, noch allfällig heikle Posts in den sozia- len Medien ersichtlich sind. Zur Vermeidung von Wiederholungen kann da- her vollumfänglich auf die zutreffenden Erwägungen des SEM verwiesen werden (vgl. angefochtene Verfügung Ziff. II).</w:t>
      </w:r>
    </w:p>
    <w:p>
      <w:r>
        <w:rPr>
          <w:b/>
        </w:rPr>
        <w:t>E. 6.2</w:t>
      </w:r>
    </w:p>
    <w:p>
      <w:r>
        <w:t>Gesamthaft betrachtet ist es dem Beschwerdeführer daher nicht gelun- gen, eine Verfolgung im Heimatstaat im Sinne von Art. 3 AsylG glaubhaft zu machen. Das SEM hat demzufolge die Flüchtlingseigenschaft des Be- schwerdeführers zu Recht verneint und das Asylgesuch folgerichtig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D-4344/2024 Seite 7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w:t>
      </w:r>
    </w:p>
    <w:p>
      <w:r>
        <w:t>D-4344/2024 Seite 8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Wie den nachfolgenden Erwägungen entnommen wer- den kann, liegt auch keine Verletzung der Bestimmungen des Übereinkom- mens vom 20. November 1989 über die Rechte des Kindes (nachfolgend: Kinderrechtskonvention, KRK; SR 0.107) vor. Schliesslich lässt auch die allgemeine Menschenrechtssituation im Heimatstaat den Wegweisungs- 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ständiger Rechtsprechung des Bundesverwaltungsgerichts verpflichten Art. 3 und 22 der KRK die asylrechtlichen Behörden das Kin- deswohl im Rahmen der Zumutbarkeitsprüfung als gewichtigen Aspekt zu berücksichtigen. Das SEM ist bezüglich unbegleiteter minderjähriger Asyl- suchender verpflichtet insbesondere abzuklären, ob diese zu ihren Eltern oder anderen Angehörigen zurückgeführt werden können und ob jene in der Lage sind, ihre Bedürfnisse abzudecken (vgl. BVGE 2021 VI/3 m.w.H.).</w:t>
      </w:r>
    </w:p>
    <w:p>
      <w:r>
        <w:rPr>
          <w:b/>
        </w:rPr>
        <w:t>E. 8.3.3</w:t>
      </w:r>
    </w:p>
    <w:p>
      <w:r>
        <w:t>Zur Begründung der Zumutbarkeit des Wegweisungsvollzugs führte die Vorinstanz in der angefochtenen Verfügung an, weder die in der Türkei herrschende politische Situation noch andere Gründe würden gegen die Zumutbarkeit einer Rückführung dorthin sprechen. Namentlich herrsche – auch nach der Niederschlagung des Militärputschversuches vom 15./16. Juli 2016 keine landesweite Situation allgemeiner Gewalt, welche einen Wegweisungsvollzug in die Türkei als generell unzumutbar erscheinen las- sen würde. Anfang Februar 2023 führten schwere Erdbeben im Südosten der Türkei zu Tausenden von Todesopfern und zur Zerstörung weiter Teile der</w:t>
      </w:r>
    </w:p>
    <w:p>
      <w:r>
        <w:t>D-4344/2024 Seite 9 Infrastruktur. In der Folge verhängte der türkische Staatspräsident Erdogan den Ausnahmezustand in den elf betroffenen Provinzen. Am 9. Mai 2023 wurde der für die betroffenen Provinzen ausgerufene Ausnahmezustand vom türkischen Staatspräsidenten aufgehoben. Aufgrund der aktuellen Lage in den von den Erdbeben betroffenen Provinzen sei die Zumutbarkeit des Wegweisungsvollzugs in die betroffenen Provinzen im Einzelfall zu prüfen (vgl. Referenzurteil des BVGer E-1308/2023 vom 19. März 2024 E. 11.2.7/11.3.1). Aus dem Prinzip des übergeordneten Kindeswohls lasse sich zwar kein Recht auf eine Aufenthaltsbewilligung oder eine vorläufige Aufnahme ab- leiten, jedoch müsse das Kindeswohl bei der Interessensabwägung im Rahmen der Prüfung der Zumutbarkeit des Wegweisungsvollzugs berück- sichtigt werden. Vorliegend sei – aufgrund der Minderjährigkeit des Be- schwerdeführers – daher zu prüfen, ob er bei einer Rückkehr in angemes- sener Weise von einem Familienmitglied oder subsidiär von Dritten bezie- hungsweise durch eine adäquate Einrichtung angemessene Betreuung er- halten würde. Vorliegend sei vom Bestehen eines tragfähigen familiären Netzwerks auszugehen, welches den Beschwerdeführer bei der Rückkehr unterstützen und Hilfe gewähren könne. So verfüge er über eine gute Schulbildung sowie Arbeitserfahrung. Er habe eine Ausbildung als Autome- chaniker gemacht und sei als solcher tätig gewesen. Zu seinem damaligen Chef habe er ein sehr gutes Verhältnis gehabt und sei von diesem unter- stützt worden. Ausserdem pflege er ein gutes Verhältnis zu seiner Mutter und verfüge über einen Onkel, welcher ihn ebenfalls unterstütze. Unter Be- rücksichtigung all dieser Umstände sei davon auszugehen, dass er trotz seiner familiären Probleme ein stabiles Beziehungsnetz im Heimatland habe, welches ihn bei seiner Rückkehr empfangen und unterstützen könne. In der Folge sei der Vollzug der Wegweisung zumutbar, zumal auch keine Hinweise auf eine medizinische Notlage bestünden und er in seiner Heimat bereits früher Zugang zu medizinischer Behandlung gehabt habe. Es stehe ihm frei, hierfür medizinische Rückkehrhilfe zu beantragen.</w:t>
      </w:r>
    </w:p>
    <w:p>
      <w:r>
        <w:rPr>
          <w:b/>
        </w:rPr>
        <w:t>E. 8.3.4</w:t>
      </w:r>
    </w:p>
    <w:p>
      <w:r>
        <w:t>In der Beschwerde wird demgegenüber geltend gemacht, für eine medizinische Behandlung würden ihm die finanziellen Mittel fehlen und sein soziales Umfeld könne ihn nicht unterstützen. In der Schweiz könnten die «best interests oft he child» besser gewahrt werden als in der Türkei. Ausserdem würden ihm bei einer Rückkehr erneut Misshandlungen durch den Stiefvater sowie durch die Polizei drohen. Es handle sich um eine sys- tematische Benachteiligung, wobei der türkische Staat nicht schutzfähig sei. Ferner fehle es an einem stabilen Familiennetz. Sein Onkel und sein</w:t>
      </w:r>
    </w:p>
    <w:p>
      <w:r>
        <w:t>D-4344/2024 Seite 10 Chef könnten keine kontinuierliche Unterstützung leisten. Vor diesem Hin- tergrund erscheine der Wegweisungsvollzug insgesamt als unzumutbar.</w:t>
      </w:r>
    </w:p>
    <w:p>
      <w:r>
        <w:rPr>
          <w:b/>
        </w:rPr>
        <w:t>E. 8.3.5</w:t>
      </w:r>
    </w:p>
    <w:p>
      <w:r>
        <w:t>Nach Durchsicht der Akten stellt das Bundesverwaltungsgericht fest, dass die vorinstanzlichen Erwägungen nicht zu beanstanden sind. Der Be- schwerdeführer macht geltend, Kontakt und ein gutes Verhältnis zu seiner Mutter und weiteren Verwandten in der Türkei zu haben. Auch wenn sich die Situation mit dem Stiefvater schwierig gestaltet, ist es ihm zuzumuten, entsprechende Hilfe zu suchen um sich diesem zu entziehen (was ihm of- fensichtlich in der Vergangenheit bereits gelungen ist). In der Folge ist mit der Vorinstanz vom Bestehen eines tragfähigen familiären Netzes auszu- gehen; Hinweise auf eine konkrete Gefährdung des Kindeswohls sind hin- gegen nicht ersichtlich. Schliesslich besteht auch keine medizinische Notlage, zumal der Be- schwerdeführer angab, bereits früher Zugang zum Gesundheitssystem ge- habt zu haben. Auch finden sich in den Akten keine Belege für eine allfällige medizinische Notlage. Betreffend die finanziellen Herausforderungen bei der Gesundheitsversorgung in der Türkei ist er erneut auf die Möglichkeit der medizinischen Rückkehrhilfe aufmerksam zu machen (vgl. Art. 93 Abs. 1 Bst. d AsylG, Art. 75 der Asylverordnung 2 über Finanzierungsfra- gen vom 11. August 1999 [AsylV 2, SR 142.312]).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D-4344/2024 Seite 11</w:t>
      </w:r>
    </w:p>
    <w:p>
      <w:r>
        <w:rPr>
          <w:b/>
        </w:rPr>
        <w:t>E. 10.1</w:t>
      </w:r>
    </w:p>
    <w:p>
      <w:r>
        <w:t>Das Gesuch um Gewährung der unentgeltlichen Prozessführung ist ungeachtet der geltend gemachten prozessualen Bedürftigkeit abzuwei- sen, da sich die Beschwerdebegehren entsprechend den vorstehenden Er- wägungen als aussichtslos erwiesen haben (Art. 65 Abs. 1 VwVG). Ange- sichts des direkten Entscheids in der Sache erweist sich der Antrag auf Verzicht der Erhebung eines Kostenvorschusses als gegenstandslos.</w:t>
      </w:r>
    </w:p>
    <w:p>
      <w:r>
        <w:rPr>
          <w:b/>
        </w:rPr>
        <w:t>E. 10.2</w:t>
      </w:r>
    </w:p>
    <w:p>
      <w:r>
        <w:t>Demzufolge wären die Verfahrenskosten dem Beschwerdeführer auf- zuerlegen (Art. 63 Abs. 1 VwVG). Aufgrund seiner Minderjährigkeit ist ge- stützt auf Art. 6 Bst. b des Reglements vom 21. Februar 2008 über die Kosten und Entschädigungen vor dem Bundesverwaltungsgericht (VGKE, SR 173.320.2) indessen auf die Erhebung von Verfahrenskosten zu ver- zichten.</w:t>
      </w:r>
    </w:p>
    <w:p>
      <w:r>
        <w:t>(Dispositiv nächste Seite)</w:t>
      </w:r>
    </w:p>
    <w:p>
      <w:r>
        <w:t>D-4344/2024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