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D-4344/2024 vom 22. Juli 2024</w:t>
      </w:r>
    </w:p>
    <w:p>
      <w:r>
        <w:t>Bundesverwaltungsgericht, 2024-07-22, DE</w:t>
      </w:r>
    </w:p>
    <w:p>
      <w:r>
        <w:rPr>
          <w:b/>
        </w:rPr>
        <w:t xml:space="preserve">Quelle: </w:t>
      </w:r>
      <w:r>
        <w:t>https://mcp.opencaselaw.ch/entscheid/bvger_D-4344_2024</w:t>
      </w:r>
    </w:p>
    <w:p>
      <w:r>
        <w:t>FR: TAF D-4344/2024 du 22 juillet 2024</w:t>
      </w:r>
    </w:p>
    <w:p>
      <w:r>
        <w:t>IT: TAF D-4344/2024 del 22 luglio 2024</w:t>
      </w:r>
    </w:p>
    <w:p>
      <w:pPr>
        <w:pStyle w:val="Heading2"/>
      </w:pPr>
      <w:r>
        <w:t>Regeste</w:t>
      </w:r>
    </w:p>
    <w:p>
      <w:r>
        <w:t>Asyl und Wegweisung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 in der Regel und auch vorliegend – end- gültig (Art. 105 AsylG [SR 142.31]; Art. 83 Bst. d Ziff. 1 BGG).</w:t>
      </w:r>
    </w:p>
    <w:p>
      <w:r>
        <w:t>D-4344/2024 Seite 4</w:t>
      </w:r>
    </w:p>
    <w:p>
      <w:r>
        <w:rPr>
          <w:b/>
        </w:rPr>
        <w:t>E. 1.2</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2 AsylG; Art. 48 Abs. 1 sowie Art. 52 Abs. 1 VwVG). Auf die Be- 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Über offensichtlich unbegründete Beschwerden wird in einzelrichterlicher Zuständigkeit mit Zustimmung eines zweiten Richters beziehungsweise ei- ner zweiten Richterin entschieden (Art. 111 Bst. e AsylG). Wie nachste- hend aufgezeigt wird, handelt es sich um ein solches Rechtsmittel, weshalb das Urteil nur summarisch zu begründen ist (Art. 111a Abs. 2 AsylG). Gestützt auf Art. 111a Abs. 1 AsylG wurde auf die Durchführung eines Schriftenwechsels verzichtet.</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t>D-4344/2024 Seite 5</w:t>
      </w:r>
    </w:p>
    <w:p>
      <w:r>
        <w:rPr>
          <w:b/>
        </w:rPr>
        <w:t>E. 5.1</w:t>
      </w:r>
    </w:p>
    <w:p>
      <w:r>
        <w:t>Die Vorinstanz stellte im angefochtenen Entscheid im Wesentlichen fest, Übergriffe durch Dritte oder Befürchtungen, künftig solchen ausge- setzt zu sein, seien nur dann flüchtlingsrechtlich relevant, wenn der Staat nicht schutzwillig oder schutzfähig sei. Zwar sei die familiäre Situation des Beschwerdeführers sicherlich schwierig und belastend, jedoch handle es sich dabei nicht um eine flüchtlingsrechtlich relevante Verfolgung und der Beschwerdeführer habe sich an die Behörden wenden können, um Schutz zu beantragen. Ausserdem sei es ihm selbst gelungen, sich der Situation zu entziehen, indem er eine Arbeit gefunden und seitens seines Arbeitge- bers Unterstützung erhalten habe. Ferner sei er auch von einem Onkel so- wie soweit möglich von seiner Mutter unterstützt worden. Betreffend die politischen Vorbringen führte die Vorinstanz aus, er habe geltend gemacht, zweimal im Rahmen von Razzien mitgenommen worden zu sein, wobei ihm beim letzten Mal gesagt worden sei, er solle nicht mehr posten. Hätten die Behörden ein ernsthaftes Interesse an seiner Person gehabt, wäre es kaum bei einer Verwarnung geblieben. Ausserdem habe er keinerlei Doku- mente eingereicht, die auf laufende Ermittlungen oder gar eine Fahndung hindeuten würden und es handle sich um eine reine Mutmassung seiner- seits, dass er bei einer Rückkehr festgenommen würde. Es sei somit nicht davon auszugehen, dass er bei einer Rückkehr etwas zu befürchten hätte. Ferner würden auch Zweifel an der Glaubhaftigkeit der diesbezüglichen Aussagen bestehen, zumal er nicht nachvollziehbar und substanziiert habe erklären können, wie es zu seinem Engagement für die HDP gekommen sei und was er dort genau gemacht habe. Auf den sozialen Medien würden sich ausserdem keine entsprechenden Einträge finden. Seine Vorbringen würden somit den Anforderungen an die Flüchtlingseigenschaft gemäss Art. 3 AsylG nicht standhalten, weshalb sein Asylgesuch abgewiesen werde.</w:t>
      </w:r>
    </w:p>
    <w:p>
      <w:r>
        <w:rPr>
          <w:b/>
        </w:rPr>
        <w:t>E. 5.2</w:t>
      </w:r>
    </w:p>
    <w:p>
      <w:r>
        <w:t>Dem wurde in der Beschwerde entgegengehalten, der Beschwerdefüh- rer sei als ethnischer Kurde und Alevit aus der Provinz Gaziantep in der Türkei vielfältigen Diskriminierungen und Gewalt ausgesetzt gewesen. Sein Stiefvater habe ihn körperlich und psychisch misshandelt, was schwere traumatische Erfahrungen hinterlassen habe. Ferner sei er mehr- mals Opfer von polizeilicher Gewalt geworden. Seine politischen Aktivitä- ten hätten ihn in den Fokus der türkischen Behörden gerückt.</w:t>
      </w:r>
    </w:p>
    <w:p>
      <w:r>
        <w:rPr>
          <w:b/>
        </w:rPr>
        <w:t>E. 6.1</w:t>
      </w:r>
    </w:p>
    <w:p>
      <w:r>
        <w:t>Nach Prüfung der Akten gelangt das Bundesverwaltungsgericht zum Schluss, dass die angefochtene Verfügung zu stützen ist. Die Vorinstanz</w:t>
      </w:r>
    </w:p>
    <w:p>
      <w:r>
        <w:t>D-4344/2024 Seite 6 ist darin mit ausführlicher, ausgewogener und überzeugender Begründung zum Schluss gelangt, dass die Vorbringen des Beschwerdeführers weder den Anforderungen an die flüchtlingsrechtliche Relevanz noch – in Bezug auf die politischen Aktivitäten – denjenigen an die Glaubhaftigkeit stand- halten. Die Beschwerde vermag dem nichts entgegenzusetzen, was zu ei- ner anderen Einschätzung führen würde, zumal sich die dortigen Ausfüh- rungen in einer kurzen Zusammenfassung seiner Vorbringen erschöpfen. Insbesondere ist die Vorinstanz in ihren Ausführungen zu stützen, wonach die Vorbringen betreffend den gewalttätigen Stiefvater nicht asylrelevant sind. Auch in Bezug auf die politischen Vorbringen ist mit dem SEM festzu- halten, dass diese sehr niederschwellig ausgefallen sein dürften, zumal es dem Beschwerdeführer weder gelingt, sich ausführlich dazu oder zu seiner politischen Motivation zu äussern, noch allfällig heikle Posts in den sozia- len Medien ersichtlich sind. Zur Vermeidung von Wiederholungen kann da- her vollumfänglich auf die zutreffenden Erwägungen des SEM verwiesen werden (vgl. angefochtene Verfügung Ziff. II).</w:t>
      </w:r>
    </w:p>
    <w:p>
      <w:r>
        <w:rPr>
          <w:b/>
        </w:rPr>
        <w:t>E. 6.2</w:t>
      </w:r>
    </w:p>
    <w:p>
      <w:r>
        <w:t>Gesamthaft betrachtet ist es dem Beschwerdeführer daher nicht gelun- gen, eine Verfolgung im Heimatstaat im Sinne von Art. 3 AsylG glaubhaft zu machen. Das SEM hat demzufolge die Flüchtlingseigenschaft des Be- schwerdeführers zu Recht verneint und das Asylgesuch folgerichtig abge- lehnt.</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w:t>
      </w:r>
    </w:p>
    <w:p>
      <w:r>
        <w:t>D-4344/2024 Seite 7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8.2.1</w:t>
      </w:r>
    </w:p>
    <w:p>
      <w:r>
        <w:t>Der Vollzug ist nicht zulässig, wenn völkerrechtliche Verpflichtungen der Schweiz einer Weiterreise der Ausländerin oder des Ausländers in den Heimat-, Herkunfts- oder einen Drittstaat entgegenstehen (Art. 83 Abs. 3 AIG).</w:t>
      </w:r>
    </w:p>
    <w:p>
      <w:r>
        <w:rPr>
          <w:b/>
        </w:rPr>
        <w:t>E. 8.2.2</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w:t>
      </w:r>
    </w:p>
    <w:p>
      <w:r>
        <w:rPr>
          <w:b/>
        </w:rPr>
        <w:t>E. 8.2.3</w:t>
      </w:r>
    </w:p>
    <w:p>
      <w:r>
        <w:t>Gemäss Art. 25 Abs. 3 BV, Art. 3 des Übereinkommens vom 10. De- zember 1984 gegen Folter und andere grausame, unmenschliche oder er- niedrigende Behandlung oder Strafe (FoK, SR 0.105) und der Praxis zu Art. 3 EMRK darf niemand der Folter oder unmenschlicher oder erniedri- gender Strafe oder Behandlung unterworfen werden.</w:t>
      </w:r>
    </w:p>
    <w:p>
      <w:r>
        <w:rPr>
          <w:b/>
        </w:rPr>
        <w:t>E. 8.2.4</w:t>
      </w:r>
    </w:p>
    <w:p>
      <w:r>
        <w:t>Die Vorinstanz wies in ihrer angefochtenen Verfügung zutreffend da- rauf hin, dass das Prinzip des flüchtlingsrechtlichen Non-Refoulement nur Personen schützt, die die Flüchtlingseigenschaft erfüllen. Da es dem Beschwerdeführer nicht gelungen ist, eine asylrechtlich erhebliche Gefähr- dung nachzuweisen oder glaubhaft zu machen, kann der in Art. 5 AsylG verankerte Grundsatz der Nichtrückschiebung im vorliegenden Verfahren keine Anwendung finden. Eine Rückkehr des Beschwerdeführers in den Heimatstaat ist demnach unter dem Aspekt von Art. 5 AsylG rechtmässig.</w:t>
      </w:r>
    </w:p>
    <w:p>
      <w:r>
        <w:rPr>
          <w:b/>
        </w:rPr>
        <w:t>E. 8.2.5</w:t>
      </w:r>
    </w:p>
    <w:p>
      <w:r>
        <w:t>Sodann ergeben sich weder aus den Aussagen des Beschwerdeführers noch aus den Akten Anhaltspunkte dafür, dass er für den Fall einer Ausschaffung in den Heimatstaat dort mit beachtlicher Wahr- scheinlichkeit einer nach Art. 3 EMRK oder Art. 1 FoK verbotenen Strafe oder Behandlung ausgesetzt wäre. Gemäss der Praxis des Europäischen Gerichtshofes für Menschenrechte (EGMR) sowie jener des UN-Anti-Fol- terausschusses müsste der Beschwerdeführer eine konkrete Gefahr ("real</w:t>
      </w:r>
    </w:p>
    <w:p>
      <w:r>
        <w:t>D-4344/2024 Seite 8 risk") nachweisen oder glaubhaft machen, dass ihm im Fall einer Rück- schiebung Folter oder unmenschliche Behandlung drohen würde (vgl. Ur- teil des EGMR Saadi gegen Italien vom 28. Februar 2008, Grosse Kammer 37201/06, §§ 124–127 m.w.H.). Nach den vorstehenden Ausführungen ge- lingt ihm das nicht. Wie den nachfolgenden Erwägungen entnommen wer- den kann, liegt auch keine Verletzung der Bestimmungen des Übereinkom- mens vom 20. November 1989 über die Rechte des Kindes (nachfolgend: Kinderrechtskonvention, KRK; SR 0.107) vor. Schliesslich lässt auch die allgemeine Menschenrechtssituation im Heimatstaat den Wegweisungs- vollzug zum heutigen Zeitpunkt nicht als unzulässig erscheinen.</w:t>
      </w:r>
    </w:p>
    <w:p>
      <w:r>
        <w:rPr>
          <w:b/>
        </w:rPr>
        <w:t>E. 8.2.6</w:t>
      </w:r>
    </w:p>
    <w:p>
      <w:r>
        <w:t>Nach dem Gesagten ist der Vollzug der Wegweisung sowohl im Sinne der asyl- als auch der völkerrechtlichen Bestimmungen zulässig.</w:t>
      </w:r>
    </w:p>
    <w:p>
      <w:r>
        <w:rPr>
          <w:b/>
        </w:rPr>
        <w:t>E. 8.3.1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8.3.2</w:t>
      </w:r>
    </w:p>
    <w:p>
      <w:r>
        <w:t>Nach ständiger Rechtsprechung des Bundesverwaltungsgerichts verpflichten Art. 3 und 22 der KRK die asylrechtlichen Behörden das Kin- deswohl im Rahmen der Zumutbarkeitsprüfung als gewichtigen Aspekt zu berücksichtigen. Das SEM ist bezüglich unbegleiteter minderjähriger Asyl- suchender verpflichtet insbesondere abzuklären, ob diese zu ihren Eltern oder anderen Angehörigen zurückgeführt werden können und ob jene in der Lage sind, ihre Bedürfnisse abzudecken (vgl. BVGE 2021 VI/3 m.w.H.).</w:t>
      </w:r>
    </w:p>
    <w:p>
      <w:r>
        <w:rPr>
          <w:b/>
        </w:rPr>
        <w:t>E. 8.3.3</w:t>
      </w:r>
    </w:p>
    <w:p>
      <w:r>
        <w:t>Zur Begründung der Zumutbarkeit des Wegweisungsvollzugs führte die Vorinstanz in der angefochtenen Verfügung an, weder die in der Türkei herrschende politische Situation noch andere Gründe würden gegen die Zumutbarkeit einer Rückführung dorthin sprechen. Namentlich herrsche – auch nach der Niederschlagung des Militärputschversuches vom 15./16. Juli 2016 keine landesweite Situation allgemeiner Gewalt, welche einen Wegweisungsvollzug in die Türkei als generell unzumutbar erscheinen las- sen würde. Anfang Februar 2023 führten schwere Erdbeben im Südosten der Türkei zu Tausenden von Todesopfern und zur Zerstörung weiter Teile der</w:t>
      </w:r>
    </w:p>
    <w:p>
      <w:r>
        <w:t>D-4344/2024 Seite 9 Infrastruktur. In der Folge verhängte der türkische Staatspräsident Erdogan den Ausnahmezustand in den elf betroffenen Provinzen. Am 9. Mai 2023 wurde der für die betroffenen Provinzen ausgerufene Ausnahmezustand vom türkischen Staatspräsidenten aufgehoben. Aufgrund der aktuellen Lage in den von den Erdbeben betroffenen Provinzen sei die Zumutbarkeit des Wegweisungsvollzugs in die betroffenen Provinzen im Einzelfall zu prüfen (vgl. Referenzurteil des BVGer E-1308/2023 vom 19. März 2024 E. 11.2.7/11.3.1). Aus dem Prinzip des übergeordneten Kindeswohls lasse sich zwar kein Recht auf eine Aufenthaltsbewilligung oder eine vorläufige Aufnahme ab- leiten, jedoch müsse das Kindeswohl bei der Interessensabwägung im Rahmen der Prüfung der Zumutbarkeit des Wegweisungsvollzugs berück- sichtigt werden. Vorliegend sei – aufgrund der Minderjährigkeit des Be- schwerdeführers – daher zu prüfen, ob er bei einer Rückkehr in angemes- sener Weise von einem Familienmitglied oder subsidiär von Dritten bezie- hungsweise durch eine adäquate Einrichtung angemessene Betreuung er- halten würde. Vorliegend sei vom Bestehen eines tragfähigen familiären Netzwerks auszugehen, welches den Beschwerdeführer bei der Rückkehr unterstützen und Hilfe gewähren könne. So verfüge er über eine gute Schulbildung sowie Arbeitserfahrung. Er habe eine Ausbildung als Autome- chaniker gemacht und sei als solcher tätig gewesen. Zu seinem damaligen Chef habe er ein sehr gutes Verhältnis gehabt und sei von diesem unter- stützt worden. Ausserdem pflege er ein gutes Verhältnis zu seiner Mutter und verfüge über einen Onkel, welcher ihn ebenfalls unterstütze. Unter Be- rücksichtigung all dieser Umstände sei davon auszugehen, dass er trotz seiner familiären Probleme ein stabiles Beziehungsnetz im Heimatland habe, welches ihn bei seiner Rückkehr empfangen und unterstützen könne. In der Folge sei der Vollzug der Wegweisung zumutbar, zumal auch keine Hinweise auf eine medizinische Notlage bestünden und er in seiner Heimat bereits früher Zugang zu medizinischer Behandlung gehabt habe. Es stehe ihm frei, hierfür medizinische Rückkehrhilfe zu beantragen.</w:t>
      </w:r>
    </w:p>
    <w:p>
      <w:r>
        <w:rPr>
          <w:b/>
        </w:rPr>
        <w:t>E. 8.3.4</w:t>
      </w:r>
    </w:p>
    <w:p>
      <w:r>
        <w:t>In der Beschwerde wird demgegenüber geltend gemacht, für eine medizinische Behandlung würden ihm die finanziellen Mittel fehlen und sein soziales Umfeld könne ihn nicht unterstützen. In der Schweiz könnten die «best interests oft he child» besser gewahrt werden als in der Türkei. Ausserdem würden ihm bei einer Rückkehr erneut Misshandlungen durch den Stiefvater sowie durch die Polizei drohen. Es handle sich um eine sys- tematische Benachteiligung, wobei der türkische Staat nicht schutzfähig sei. Ferner fehle es an einem stabilen Familiennetz. Sein Onkel und sein</w:t>
      </w:r>
    </w:p>
    <w:p>
      <w:r>
        <w:t>D-4344/2024 Seite 10 Chef könnten keine kontinuierliche Unterstützung leisten. Vor diesem Hin- tergrund erscheine der Wegweisungsvollzug insgesamt als unzumutbar.</w:t>
      </w:r>
    </w:p>
    <w:p>
      <w:r>
        <w:rPr>
          <w:b/>
        </w:rPr>
        <w:t>E. 8.3.5</w:t>
      </w:r>
    </w:p>
    <w:p>
      <w:r>
        <w:t>Nach Durchsicht der Akten stellt das Bundesverwaltungsgericht fest, dass die vorinstanzlichen Erwägungen nicht zu beanstanden sind. Der Be- schwerdeführer macht geltend, Kontakt und ein gutes Verhältnis zu seiner Mutter und weiteren Verwandten in der Türkei zu haben. Auch wenn sich die Situation mit dem Stiefvater schwierig gestaltet, ist es ihm zuzumuten, entsprechende Hilfe zu suchen um sich diesem zu entziehen (was ihm of- fensichtlich in der Vergangenheit bereits gelungen ist). In der Folge ist mit der Vorinstanz vom Bestehen eines tragfähigen familiären Netzes auszu- gehen; Hinweise auf eine konkrete Gefährdung des Kindeswohls sind hin- gegen nicht ersichtlich. Schliesslich besteht auch keine medizinische Notlage, zumal der Be- schwerdeführer angab, bereits früher Zugang zum Gesundheitssystem ge- habt zu haben. Auch finden sich in den Akten keine Belege für eine allfällige medizinische Notlage. Betreffend die finanziellen Herausforderungen bei der Gesundheitsversorgung in der Türkei ist er erneut auf die Möglichkeit der medizinischen Rückkehrhilfe aufmerksam zu machen (vgl. Art. 93 Abs. 1 Bst. d AsylG, Art. 75 der Asylverordnung 2 über Finanzierungsfra- gen vom 11. August 1999 [AsylV 2, SR 142.312]). Nach dem Gesagten erweist sich der Vollzug der Wegweisung auch als zumutbar.</w:t>
      </w:r>
    </w:p>
    <w:p>
      <w:r>
        <w:rPr>
          <w:b/>
        </w:rPr>
        <w:t>E. 8.4</w:t>
      </w:r>
    </w:p>
    <w:p>
      <w:r>
        <w:t>Schliesslich obliegt es dem Beschwerdeführer, sich bei der zuständi- gen Vertretung des Heimatstaates die für eine Rückkehr notwendigen Rei- sedokumente zu beschaffen (vgl. Art. 8 Abs. 4 AsylG und dazu auch BVGE 2008/34 E. 12), weshalb der Vollzug der Wegweisung auch als möglich zu bezeichnen ist (Art. 83 Abs. 2 AIG).</w:t>
      </w:r>
    </w:p>
    <w:p>
      <w:r>
        <w:rPr>
          <w:b/>
        </w:rPr>
        <w:t>E. 8.5</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t>D-4344/2024 Seite 11</w:t>
      </w:r>
    </w:p>
    <w:p>
      <w:r>
        <w:rPr>
          <w:b/>
        </w:rPr>
        <w:t>E. 10.1</w:t>
      </w:r>
    </w:p>
    <w:p>
      <w:r>
        <w:t>Das Gesuch um Gewährung der unentgeltlichen Prozessführung ist ungeachtet der geltend gemachten prozessualen Bedürftigkeit abzuwei- sen, da sich die Beschwerdebegehren entsprechend den vorstehenden Er- wägungen als aussichtslos erwiesen haben (Art. 65 Abs. 1 VwVG). Ange- sichts des direkten Entscheids in der Sache erweist sich der Antrag auf Verzicht der Erhebung eines Kostenvorschusses als gegenstandslos.</w:t>
      </w:r>
    </w:p>
    <w:p>
      <w:r>
        <w:rPr>
          <w:b/>
        </w:rPr>
        <w:t>E. 10.2</w:t>
      </w:r>
    </w:p>
    <w:p>
      <w:r>
        <w:t>Demzufolge wären die Verfahrenskosten dem Beschwerdeführer auf- zuerlegen (Art. 63 Abs. 1 VwVG). Aufgrund seiner Minderjährigkeit ist ge- stützt auf Art. 6 Bst. b des Reglements vom 21. Februar 2008 über die Kosten und Entschädigungen vor dem Bundesverwaltungsgericht (VGKE, SR 173.320.2) indessen auf die Erhebung von Verfahrenskosten zu ver- zichten.</w:t>
      </w:r>
    </w:p>
    <w:p>
      <w:r>
        <w:t>(Dispositiv nächste Seite)</w:t>
      </w:r>
    </w:p>
    <w:p>
      <w:r>
        <w:t>D-4344/2024 Seite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