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D-433/2020 vom 17. April 2020</w:t>
      </w:r>
    </w:p>
    <w:p>
      <w:r>
        <w:t>Bundesverwaltungsgericht, 2020-04-17, DE</w:t>
      </w:r>
    </w:p>
    <w:p>
      <w:r>
        <w:rPr>
          <w:b/>
        </w:rPr>
        <w:t xml:space="preserve">Quelle: </w:t>
      </w:r>
      <w:r>
        <w:t>https://mcp.opencaselaw.ch/entscheid/bvger_D-433_2020</w:t>
      </w:r>
    </w:p>
    <w:p>
      <w:r>
        <w:t>FR: TAF D-433/2020 du 17 avril 2020</w:t>
      </w:r>
    </w:p>
    <w:p>
      <w:r>
        <w:t>IT: TAF D-433/2020 del 17 aprile 2020</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 1 VwVG) und seine Beschwerde erfolgte frist- und formgerecht (Art. 108 Abs. 6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einen Schriftenwechsel wurde gestützt auf Art. 111a Abs. 1 AsylG verzichtet.</w:t>
      </w:r>
    </w:p>
    <w:p>
      <w:r>
        <w:rPr>
          <w:b/>
        </w:rPr>
        <w:t>E. 4.1</w:t>
      </w:r>
    </w:p>
    <w:p>
      <w:r>
        <w:t>Der Beschwerdeführer erhebt die formellen Rügen der unrichtigen und unvollständigen Sachverhaltsabklärung und der Verletzung des rechtlichen Gehörs sowie der Begründungspflicht. Diese sind vorab zu beurteilen, da sie allenfalls geeignet wären, eine Kassation der vorinstanzlichen Verfügung zu bewirken.</w:t>
      </w:r>
    </w:p>
    <w:p>
      <w:r>
        <w:rPr>
          <w:b/>
        </w:rPr>
        <w:t>E. 4.2</w:t>
      </w:r>
    </w:p>
    <w:p>
      <w:r>
        <w:t>Im Asylverfahren gilt - wie in anderen Verwaltungsverfahren - der Untersuchungsgrundsatz (Art. 6 AsylG i.V.m. Art. 12 VwVG). Danach muss die entscheidende Behörde den Sachverhalt von sich aus abklären. Mithin ist sie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 Gemäss Art. 29 VwVG haben die Parteien Anspruch auf rechtliches Gehör, welcher als Mitwirkungsrecht alle Befugnisse einer Partei umfasst, damit sie in einem Verfahren ihren Standpunkt wirksam zur Geltung bringen kann (vgl. BGE 135 II 286 E. 5.1; BVGE 2009/35 E. 6.4.1 m.H.). Mit diesem Anspruch korreliert die Pflicht der Behörden, die Vorbringen tatsächlich zu hören, ernsthaft zu prüfen und in ihrer Entscheidfindung angemessen zu berücksichtigen, wobei die Begründung sich nicht mit allen Parteistandpunkten einlässlich auseinandersetzen und jedes einzelne Vorbringen ausdrücklich widerlegen muss (vgl. BGE 136 I 184 E. 2.2.1).</w:t>
      </w:r>
    </w:p>
    <w:p>
      <w:r>
        <w:rPr>
          <w:b/>
        </w:rPr>
        <w:t>E. 4.3</w:t>
      </w:r>
    </w:p>
    <w:p>
      <w:r>
        <w:t>Der Beschwerdeführer macht geltend, die Vorinstanz habe den Sachverhalt unrichtig und unvollständig definiert, indem sie seine Vorbringen nicht ernsthaft und eingehend geprüft habe, und damit seinen Anspruch auf rechtliches Gehör verletzt. So habe sie den Vorfall bei der Schwester als unsubstantiiert und unbelegt qualifiziert, obschon er diesen - soweit dies bei einer nicht selbst erlebten Handlung möglich sei - detailliert geschildert habe. Zudem habe sie die Angaben zum Strafverfahren als widersprüchlich bezeichnet, ohne zu begründen, worin der Widerspruch bestehen solle. Sodann habe sie dem in Kopie eingereichten Polizeirapport seinen Beweiswert abgesprochen. Dabei verstehe es sich von selbst, dass der Rapport die Aussagen der Schwester wiedergebe. Schliesslich habe er keine weiteren Informationen in Erfahrung bringen können, da die Polizei bisher nichts unternommen habe.</w:t>
      </w:r>
    </w:p>
    <w:p>
      <w:r>
        <w:rPr>
          <w:b/>
        </w:rPr>
        <w:t>E. 4.4</w:t>
      </w:r>
    </w:p>
    <w:p>
      <w:r>
        <w:t>Der Beschwerdeführer vermengt mit seiner Kritik an der Einschätzung der Vorinstanz die Frage der Feststellung des rechtserheblichen Sachverhalts mit der Frage der rechtlichen Würdigung der Sache. Die Rügen beziehen sich denn massgeblich auf die Glaubhaftigkeitsprüfung und die Beweiswürdigung. Alleine der Umstand, dass das SEM aufgrund der vorliegenden Aktenlage zu einer anderen Würdigung der Gesuchsvorbringen gelangt, als von ihm geltend gemacht, spricht aber nicht für eine ungenügende Sachverhaltsfeststellung. Das SEM genügt vielmehr dem Anspruch auf rechtliches Gehör, wenn es im Rahmen der Begründung die wesentlichen Überlegungen nennt, welche es seinem Entscheid zugrunde legt (vgl. Art 29 Abs. 2 BV, Art. 26-33 VwVG). Dieser Anforderung ist es im Rahmen seiner Erwägungen, welche eine umfassende Würdigung der vorgebrachten Gesuchsgründe beinhalten, zweifelsohne gerecht geworden.</w:t>
      </w:r>
    </w:p>
    <w:p>
      <w:r>
        <w:rPr>
          <w:b/>
        </w:rPr>
        <w:t>E. 4.5</w:t>
      </w:r>
    </w:p>
    <w:p>
      <w:r>
        <w:t>Der rechtserhebliche Sachverhalt ist somit hinreichend erstellt und die Rüge der Verletzung formellen Rechts erweist sich als unbegründet. Demzufolge ist der im Sinne eines Eventualbegehrens gestellte Antrag auf Aufhebung der angefochtenen Verfügung und Rückweisung der Sache an die Vorinstanz zur Neubeurteilung abzuweisen und das Gericht hat in der Sache zu entscheiden (vgl.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Die Vorinstanz führte zur Begründung ihres ablehnenden Entscheids aus, nachdem der Beschwerdeführer neue, nach Rechtskraft des ersten Asylentscheids eingetretene Gründe betreffend die Flüchtlingseigenschaft geltend gemacht habe, sei sein Gesuch als Mehrfachgesuch zu qualifizieren. Im ersten Entscheid seien die Vorbringen in Bezug auf sein LTTE-Profil nicht als glaubhaft erachtet worden. Seine neuen Ausführungen zum Vorfall bei seiner Schwester seien knapp, pauschal und unsubstantiiert ausgefallen. Die Attacke sei zeitlich und inhaltlich nicht kontextualisiert worden. Mangels konkreter und glaubhafter Hinweise erweise sich die Aussage, hinter dem Vorfall stünde der Staatsapparat, als unbelegte Behauptung. Lediglich behauptet und widersprüchlich blieben auch die Angaben zur Einleitung eines Strafverfahrens. Der Polizeirapport vermöge an dieser Einschätzung nichts zu ändern, handle es sich doch lediglich um eine Kopie mit geringem Beweiswert. Abgesehen davon bilde der Rapport lediglich die Aussagen der Schwester ab, weshalb er auch nicht erheblich sei. Sodann könnten solche Dokumente in Sri Lanka käuflich erworben und leicht gefälscht werden. Hinsichtlich der exilpolitischen Tätigkeiten sei festzuhalten, dass der Beschwerdeführer im ersten Verfahren weder solche Aktivitäten geltend noch eine politisch motivierte Verfolgung durch die sri-lankischen Behörden glaubhaft gemacht habe. Es bestehe somit weiterhin kein Anlass zur Annahme, er sei in den Fokus der Behörden geraten oder dort registriert worden. Entsprechend sei auch nicht davon auszugehen, er stünde bei seiner Rückkehr unter spezieller Beobachtung. Des Weiteren habe er nur an einer einzigen exilpolitischen Kundgebung teilgenommen, woraus noch nicht auf eine exponierte Stellung innerhalb der exilpolitischen Opposition geschlossen werden könne. Zudem habe er unspezifische Angaben zur Kundgebung gemacht und auch keine Einzelheiten zu seinen Tätigkeiten oder seiner Rolle an der Veranstaltung genannt. Eine wesentliche Verschärfung seines Profils ergebe sich sodann nicht aus den eingereichten Fotos, zumal aus diesen ebenso kein exponiertes Wirken hervorgehe, er teilweise nicht eindeutig erkennbar sei und die Fotos sowie Videos auf der genannten Internetseite nicht hätten gefunden und somit auch nicht mit ihm in Verbindung gebracht werden können. Die Präsidentschaftswahl im November 2019 mit dem Sieg von Gotobaya Rajapaksa und der Einsetzung seines Bruders Mahinda als Premierminister vermöchten an dieser Einschätzung nichts zu ändern. So gebe es aktuell keinen Anlass zur Annahme, ganze Volksgruppen seien unter dem neuen Präsidenten einer kollektiven Verfolgungsgefahr ausgesetzt. Das Risiko sei im Einzelfall zu prüfen, mithin ob ein persönlicher Bezug zur Präsidentschaftswahl respektive dessen Folgen bestehe. Dieser sei vorliegend nicht dargetan worden. Ein pauschaler Hinweis auf die politischen Entwicklungen der jüngeren Vergangenheit oder mögliche Zukunftsszenarien genüge nicht.</w:t>
      </w:r>
    </w:p>
    <w:p>
      <w:r>
        <w:rPr>
          <w:b/>
        </w:rPr>
        <w:t>E. 6.2</w:t>
      </w:r>
    </w:p>
    <w:p>
      <w:r>
        <w:t>In seiner Beschwerdeschrift wiederholte der Beschwerdeführer im Wesentlichen seine Vorbringen aus dem Gesuch vom 11. November 2019. Betreffend den Vorfall bei seiner Schwester erhob er die im Zusammenhang mit seiner formellen Rüge vorgebrachten Einwände (vgl. E. 4.3). Hinsichtlich seines exilpolitischen Engagements ergänzte er, er habe sich bei der Demonstration an vorderster Front befunden und auf den Fotos sehe es so aus, als habe er die Gruppe Demonstrierender angeführt. Auf einer weiteren Internetseite (www.kalaththil.com) seien die Foto- und Videoaufnahmen sowie Medienberichte ebenfalls veröffentlicht. Dieses Onlinemedienportal sowie die Internetseite www.tamilwin.ch würden vom sri-lankischen Staat genutzt, um exilpolitische Aktivitäten tamilischer Dissidenten ausfindig zu machen. Der sri-lankische Geheimdienst sei in der Schweiz als LTTE-freundlichstem Land gut vernetzt. Nicht nur aufgrund seiner Teilnahme an der Kundgebung, sondern auch wegen des hochgehaltenen Plakats und seiner Position im Kundgebungszug sei er (der Beschwerdeführer) daher zweifellos aufgefallen. Selbst wenn er bloss als Mitläufer registriert worden sei, wäre er bei einer Rückkehr der Verfolgung ausgesetzt, weil die sri-lankischen Behörden davon ausgehen würden, über ihn an die Veranstalter der Demonstration gelangen zu können. Seit der Machtergreifung des Rajapaksa-Clans und erst recht nach der Entführung und späteren Inhaftierung einer sri-lankischen Mitarbeiterin der schweizerischen Botschaft in Colombo im November und Dezember 2019 habe sich die Situation überdies nicht nur für Tamilen mit seinem Profil (Tamile, abgelehnter Asylsuchender, mehrjähriger Aufenthalt in der Schweiz, [vermeintliche] LTTE-Verbindung, exilpolitische Tätigkeit), sondern generell für die tamilische Bevölkerung erheblich verschlechtert (etwa erneute Zunahme von sogenannten «white van»-Aktionen, Unterschriftspflichten gegen Tamilen). Gotabaya Rajapaksa's erklärtes Ziel sei die schonungslose Beseitigung verdächtiger Personen, namentlich jenen, die am Wiederaufbau einer tamilischen Unabhängigkeitsbewegung beteiligt gewesen seien oder es noch sein könnten. Die Vorinstanz habe seine individuelle Gefährdungslage verneint, obschon er aufgrund seiner Vergangenheit und dem Vorfall im September 2019 zu den stark gefährdeten Personen gehöre, die bei einer Wiedereinreise einer konkreten Folter- und Todesgefahr ausgesetzt würden. Bei einer Rückkehr sei zudem ein Background Check unausweichlich.</w:t>
      </w:r>
    </w:p>
    <w:p>
      <w:r>
        <w:rPr>
          <w:b/>
        </w:rPr>
        <w:t>E. 7</w:t>
      </w:r>
    </w:p>
    <w:p>
      <w:r>
        <w:t>Zu prüfen ist im Folgenden, ob die Vorbringen des Beschwerdeführers geeignet sind, eine asylrelevante Verfolgung im Sinne von Art. 3 AsylG nachzuweisen oder zumindest glaubhaft zu machen.</w:t>
      </w:r>
    </w:p>
    <w:p>
      <w:r>
        <w:rPr>
          <w:b/>
        </w:rPr>
        <w:t>E. 7.1</w:t>
      </w:r>
    </w:p>
    <w:p>
      <w:r>
        <w:t>Voranzustellen ist, dass die im ersten Verfahren geltend gemachte Verfolgung des Beschwerdeführers aufgrund früherer Unterstützungstätigkeiten für die LTTE rechtskräftig als unglaubhaft taxiert wurde. Soweit der Beschwerdeführer mit dem geltend gemachten Vorfall bei seiner Schwester im September 2019 diese Feststellung zu überwinden versucht, gelingt ihm dies nicht. Die Vorinstanz führte zutreffend aus, dass er seine diesbezüglichen Vorbringen nicht hinreichend substantiieren konnte, dies auch unter Berücksichtigung seines Einwands, dass er nur vom Hörensagen zu berichten wusste, was seine Schwester erlebt haben soll. Dabei kann offenbleiben, ob die Angaben zur Einleitung eines Strafverfahrens widersprüchlich ausfielen. Mangels entsprechender Nachweise und sonstiger Anhaltspunkte sind sie jedenfalls als unbelegte Behauptungen zurückzuweisen. Auch der im Original eingereichte Polizeirapport vermag die Zweifel an der Vorverfolgung nicht auszuräumen. Dabei trifft es zu, dass es sich bei dem Rapport auch nach Vorlage des Originals um ein Dokument mit geringem Beweiswert handelt, kann es doch nur die von der Schwester dem zuständigen Polizisten erzählten Erlebnisse wiedergeben. Dabei kann auch dahinstehen, ob es sich um eine Gefälligkeit der Schwester und/oder ein Gefälligkeitsschreiben der Polizei handelt, ist ihm doch nicht zu entnehmen, dass der Beschwerdeführer tatsächlich vom Staat verfolgt wird, geschweige denn, dass er aufgrund seiner LTTE-Aktivitäten belangt wird oder gar ein Strafverfahren deswegen eingeleitet wurde. Überdies sind weitere Zweifel an den Vorbringen zum Vorfall angebracht, erscheint es doch wenig nachvollziehbar, dass der Beschwerdeführer nach bald vier Jahren ausser Landes auf einmal wieder gesucht würde, noch dazu unmittelbar nach der Mandatierung des rubrizierten Rechtsvertreters.</w:t>
      </w:r>
    </w:p>
    <w:p>
      <w:r>
        <w:rPr>
          <w:b/>
        </w:rPr>
        <w:t>E. 7.2</w:t>
      </w:r>
    </w:p>
    <w:p>
      <w:r>
        <w:t>Fehl geht in diesem Zusammenhang auch die Argumentation zum Wiedererstarken des Rajapaksa-Clans und der erneuten oder verstärkten Behelligung von tatsächlichen oder vermeintlichen LTTE-Unterstützern. Schon vor dem ersten Urteil des Bundesverwaltungsgerichts vom 15. August 2019 wirkten die Rajapaksas nach eigenen Angaben des Beschwerdeführers wieder im Hintergrund, weshalb unklar ist, warum er nun im September auf einmal wieder gesucht worden sein soll. Erst recht kann die Suche nach ihm nicht mit der Machtergreifung von Gotabaya Rajapaksa nach den Präsidentschaftswahlen am 16. November 2019 begründet werden, liegt diese doch zeitlich später.</w:t>
      </w:r>
    </w:p>
    <w:p>
      <w:r>
        <w:rPr>
          <w:b/>
        </w:rPr>
        <w:t>E. 7.3</w:t>
      </w:r>
    </w:p>
    <w:p>
      <w:r>
        <w:t>Es besteht des Weiteren kein begründeter Anlass zur Annahme, dass der Beschwerdeführer bei einer Rückkehr nach Sri Lanka aufgrund seiner exilpolitischen Tätigkeiten, seiner Zugehörigkeit zur Gruppe der abgelehnten tamilischen Asylsuchenden sowie den seit August 2019 eingetretenen politischen Veränderungen in Sri Lanka flüchtlingsrelevanten Verfolgungsmassnahmen ausgesetzt sein werde.</w:t>
      </w:r>
    </w:p>
    <w:p>
      <w:r>
        <w:rPr>
          <w:b/>
        </w:rPr>
        <w:t>E. 7.3.1</w:t>
      </w:r>
    </w:p>
    <w:p>
      <w:r>
        <w:t>Das Gericht hat bereits im Urteil D-3514/2019 vom 15. August 2019 festgestellt, dass in der Person des Beschwerdeführers keine Risikofaktoren im Sinne des Referenzurteils E-1866/2015 vom 15. Juli 2016 begründet liegen (vgl. D-3514/2019 E. 6.7). Zur Vermeidung von Wiederholungen sei auf die dortigen Ausführungen verwiesen. Auch mit den neuen Vorbringen kann nicht auf ein Risikoprofil geschlossen werden, das den Beschwerdeführer in den Augen der sri-lankischen Sicherheitsbehörden als tamilischen Separatisten ausweisen und deshalb deren Aufmerksamkeit auf sich ziehen könnte.</w:t>
      </w:r>
    </w:p>
    <w:p>
      <w:r>
        <w:rPr>
          <w:b/>
        </w:rPr>
        <w:t>E. 7.3.2</w:t>
      </w:r>
    </w:p>
    <w:p>
      <w:r>
        <w:t>Hinsichtlich der geltend gemachten exilpolitischen Aktivitäten fällt auf, dass diese zeitlich nicht näher bestimmt wurden, was Zweifel aufkommen lässt, ob sie nicht bereit als nachgeschobene Vorbringen zu erachten sind, mit denen der Beschwerdeführer sein Profil zusätzlich schärfen will. Abgesehen davon ist der Vorinstanz darin zuzustimmen, dass die Teilnahme an lediglich einer Kundgebung nicht auf eine besondere Exponiertheit des Beschwerdeführers schliessen lässt. Auch brachte der Beschwerdeführer in der Beschwerdeschrift selbst an, dass er nicht Veranstalter der Kundgebung war. Mangels glaubhaft gemachter Vorverfolgung und erhöhtem Risikoprofil ist daher sein exilpolitisches Engagement ungeachtet seines Mitlaufens in der ersten Reihe und des Hochhaltens eines Plakats als niederschwellig zu erachten.</w:t>
      </w:r>
    </w:p>
    <w:p>
      <w:r>
        <w:rPr>
          <w:b/>
        </w:rPr>
        <w:t>E. 7.3.3</w:t>
      </w:r>
    </w:p>
    <w:p>
      <w:r>
        <w:t>Zu den weiteren in der Beschwerdeschrift aufgeführten Umständen und Entwicklungen der allgemeinen politischen Lage in Sri Lanka ist sodann festzustellen, dass in keiner Weise erkennbar ist, wie sich diese zum heutigen Zeitpunkt auf den Beschwerdeführer auswirken könnten.</w:t>
      </w:r>
    </w:p>
    <w:p>
      <w:r>
        <w:rPr>
          <w:b/>
        </w:rPr>
        <w:t>E. 7.3.4</w:t>
      </w:r>
    </w:p>
    <w:p>
      <w:r>
        <w:t>Unter Berücksichtigung vorstehender Erwägungen ist letztlich nicht davon auszugehen, dass der Beschwerdeführer als abgelehnter tamilischer Asylsuchender bei einer Rückkehr aus der Schweiz Massnahmen zu befürchten hätte, die über die üblichen Backgroundchecks hinausgehen. Dabei ist festzuhalten, dass eine allfällige Befragung am Flughafen in Colombo und Kontrollmassnahmen an seinem Heimatort keine asylrelevanten Verfolgungsmassnahmen darstellen.</w:t>
      </w:r>
    </w:p>
    <w:p>
      <w:r>
        <w:rPr>
          <w:b/>
        </w:rPr>
        <w:t>E. 7.4</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9.1.3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(vgl. Urteil des EGMR R.J. gegen Frankreich vom 19. September 2013, 10466/11, Ziff. 37). Die Einzelfallprüfung fällt mangels hinreichender Anhaltspunkte vorliegend negativ aus (vgl. E. 7). Zudem lässt die allgemeine Menschenrechtssituation in Sri Lanka den Wegweisungsvollzug nicht als unzulässig erscheinen (vgl. BVGE 2011/24 E. 10.4).</w:t>
      </w:r>
    </w:p>
    <w:p>
      <w:r>
        <w:rPr>
          <w:b/>
        </w:rPr>
        <w:t>E. 9.1.4</w:t>
      </w:r>
    </w:p>
    <w:p>
      <w:r>
        <w:t>Nach dem Gesagten ist der Vollzug der Wegweisung sowohl im Sinne der asyl- als auch der völkerrechtlichen Bestimmungen zulässig.</w:t>
      </w:r>
    </w:p>
    <w:p>
      <w:r>
        <w:rPr>
          <w:b/>
        </w:rPr>
        <w:t>E. 9.2.1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9.2.2</w:t>
      </w:r>
    </w:p>
    <w:p>
      <w:r>
        <w:t>Im bereits erwähnten Referenzurteil E-1866/2015 nahm das Bundesverwaltungsgericht eine aktuelle Lagebeurteilung auch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9.2.3</w:t>
      </w:r>
    </w:p>
    <w:p>
      <w:r>
        <w:t>Seit Rechtskraft des Urteils D-3514/2019 vom 15. August 2019 sind ausweislich der Akten keine Umstände hinzugetreten, nach denen die Zumutbarkeit des Wegweisungsvollzugs im Fall des Beschwerdeführers zu verneinen wäre. Wie bereits erwähnt (vgl. E. 7.3.3), ist auch nach den politischen Entwicklungen seit der Präsidentschaftswahl am 16. November 2019 nicht von einer Situation allgemeiner Gewalt auszugehen, aufgrund derer Rückkehrer ungeachtet ihres individuellen Hintergrunds konkret gefährdet würden. Nachdem der Beschwerdeführer im vorliegenden Verfahren keine weiteren gegen den Wegweisungsvollzug sprechenden persönlichen Aspekte vorgebracht hat, geht im Weiteren sein Einwand der fehlenden individuellen Prüfung fehl. Vielmehr kann hinsichtlich der individuellen Umstände auf die Ausführungen im erwähnten Urteil D-3514/2019 verwiesen werden. So hat er vor seiner Ausreise zuletzt im Distrikt Jaffna, Nordprovinz, gelebt, verfügt über Berufserfahrung als (...), (...) und (...) und hat mit einer Schwester sowie (...) Onkeln und (...) Tanten ein Beziehungsnetz vor Ort, womit eine soziale und wirtschaftliche Reintegration im Heimatland zumutbar erscheint. Überdies ist mangels neuer Anhaltspunkte weiterhin von der Zumutbarkeit des Wegweisungsvollzugs im Hinblick auf die gesundheitliche Situation des Beschwerdeführers auszugehen.</w:t>
      </w:r>
    </w:p>
    <w:p>
      <w:r>
        <w:rPr>
          <w:b/>
        </w:rPr>
        <w:t>E. 9.2.4</w:t>
      </w:r>
    </w:p>
    <w:p>
      <w:r>
        <w:t>Nach dem Gesagten ist der Wegweisungsvollzug weiterhin als zumutbar zu erachten.</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Der Beschwerdeführer beantragte in seiner Beschwerdeschrift allerdings die Gewährung der unentgeltlichen Prozessführung. Nachdem seine Beschwerde im Zeitpunkt der Einreichung nicht als offensichtlich aussichtlos bezeichnet werden konnte und angesichts der eingereichten Unterstützungsbestätigung von seiner Bedürftigkeit auszugehen ist, ist sein Gesuch gemäss Art. 65 Abs. 1 VwVG gutzuheissen. Der Beschwerdeführer hat vorliegend keine Verfahrenskosten zu tragen.</w:t>
      </w:r>
    </w:p>
    <w:p>
      <w:r>
        <w:rPr>
          <w:b/>
        </w:rPr>
        <w:t>E. 11.2</w:t>
      </w:r>
    </w:p>
    <w:p>
      <w:r>
        <w:t>Sein Gesuch um amtliche Rechtsverbeiständung wurde dagegen mit Zwischenverfügung vom 3. Februar 2020 mangels Komplexität der Sach- und Rechtslage abgewiesen (vgl. Art. 102m Abs. 2 AsylG, Art. 65 Abs. 2 VwVG). Seither sind keine Umstände eingetreten, die eine andere Einschätzung rechtfertigen. Folglich ist dem rubrizierten Rechtsvertreter keine Aufwandsentschädigung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