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D-4338/2012 vom 9. April 2014</w:t>
      </w:r>
    </w:p>
    <w:p>
      <w:r>
        <w:t>Bundesverwaltungsgericht, 2014-04-09, FR</w:t>
      </w:r>
    </w:p>
    <w:p>
      <w:r>
        <w:rPr>
          <w:b/>
        </w:rPr>
        <w:t xml:space="preserve">Quelle: </w:t>
      </w:r>
      <w:r>
        <w:t>https://mcp.opencaselaw.ch/entscheid/bvger_D-4338_2012</w:t>
      </w:r>
    </w:p>
    <w:p>
      <w:r>
        <w:t>FR: TAF D-4338/2012 du 9 avril 2014</w:t>
      </w:r>
    </w:p>
    <w:p>
      <w:r>
        <w:t>IT: TAF D-4338/2012 del 9 aprile 2014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décision de l'ODM du 18 juillet 2012 est annulée.</w:t>
      </w:r>
    </w:p>
    <w:p>
      <w:r>
        <w:rPr>
          <w:b/>
        </w:rPr>
        <w:t>E. 2</w:t>
      </w:r>
    </w:p>
    <w:p>
      <w:r>
        <w:t>La demande de révision est rejetée, dans la mesure où elle recevable.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présent arrêt est adressé aux requérants, à l'ODM et à l'autorité cantonale. Le président du collège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