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D-4336/2020 vom 16. Juni 2022</w:t>
      </w:r>
    </w:p>
    <w:p>
      <w:r>
        <w:t>Bundesverwaltungsgericht, 2022-06-16, DE</w:t>
      </w:r>
    </w:p>
    <w:p>
      <w:r>
        <w:rPr>
          <w:b/>
        </w:rPr>
        <w:t xml:space="preserve">Quelle: </w:t>
      </w:r>
      <w:r>
        <w:t>https://mcp.opencaselaw.ch/entscheid/bvger_D-4336_2020</w:t>
      </w:r>
    </w:p>
    <w:p>
      <w:r>
        <w:t>FR: TAF D-4336/2020 du 16 juin 2022</w:t>
      </w:r>
    </w:p>
    <w:p>
      <w:r>
        <w:t>IT: TAF D-4336/2020 del 16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w:t>
      </w:r>
    </w:p>
    <w:p>
      <w:r>
        <w:t>D-4336/2020 Seite 11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wobei erlittene Verfolgung oder im Zeitpunkt der Ausreise bestan- dene begründete Furcht vor Verfolgung auf eine andauernde Gefährdung hinweisen können (vgl. BVGE 2010/57 E. 2.6,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w:t>
      </w:r>
    </w:p>
    <w:p>
      <w:r>
        <w:t>D-4336/2020 Seite 12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Fluchtgründe die Flüchtlingseigenschaft gemäss Art. 3 AsylG nicht zu begründen vermöch- ten. Das Bundesverwaltungsgericht kommt nach Prüfung der Akten zum Schluss, dass dieser Einschätzung im Ergebnis nicht beizupflichten ist (vgl. die nachfolgenden Ausführungen).</w:t>
      </w:r>
    </w:p>
    <w:p>
      <w:r>
        <w:rPr>
          <w:b/>
        </w:rPr>
        <w:t>E. 4.2</w:t>
      </w:r>
    </w:p>
    <w:p>
      <w:r>
        <w:t>Das SEM hat die Sachverhaltsdarstellung der Beschwerdeführerin nicht bestritten, wonach die als (…) tätige Beschwerdeführerin im Jahr 2015 Nachforschungen zum Tod ihres im Jahr (…) am Arbeitsplatz verstor- benen Vaters gemacht habe und deswegen entführt, zum Rückzug ihres bei den iranischen Behörden eingereichten Antrags um nochmalige Unter- suchung der Todesursache und um Einsicht in die gerichtsmedizinischen Akten gezwungen und nach der erfolgten Freilassung telefonisch mit dem Tod bedroht worden sei. Auch das Bundesverwaltungsgericht gelangt auf- grund der Aktenlage zum Schluss, dass keine Veranlassung besteht, die besagte Darstellung in Abrede zu stellen. Die Gründe, welche für die Rich- tigkeit der von der Beschwerdeführerin vorgebrachten Sachverhaltsdar- stellung sprechen, überwiegen. Ihre Schilderungen weisen keine erhebli- chen Widersprüche und Ungereimtheiten auf. Die Angaben vermitteln auch in Gegenüberstellung mit den Ausführungen ihrer Mutter in deren Verfah- ren ein stimmiges Bild und vermögen insgesamt betrachtet in einem für die Glaubhaftigkeit genügenden Mass zu überzeugen. Mithin ist aufgrund der Aktenlage mit überwiegender Wahrscheinlichkeit davon auszugehen, dass der Vater der Beschwerdeführerin am Arbeitsplatz zu Tode gekommen ist und die Beschwerdeführerin entführt, festgehalten und nach der Freilas- sung telefonisch bedroht worden ist, nachdem sie bei den iranischen Be- hörden um Abklärung der Ursache des Todes ihres Vaters und um Einsicht in die entsprechenden gerichtsmedizinischen Akten ersucht hatte. Das SEM sprach den fluchtauslösenden Verfolgungsmassnahmen aber die asylrechtliche Relevanz gemäss Art. 3 AsylG ab, weil es davon aus- ging, dass die Beschwerdeführerin nicht von staatlicher Seite, sondern von Drittpersonen entführt und nach der Freilassung weiter bedroht worden sei, und diesbezüglich vom Schutzwillen und der Schutzfähigkeit der irani- schen Behörden auszugehen sei. Es erscheint entgegen der Einschätzung</w:t>
      </w:r>
    </w:p>
    <w:p>
      <w:r>
        <w:t>D-4336/2020 Seite 13 des SEM jedoch unwahrscheinlich, dass die Beschwerdeführerin nur kurze Zeit nachdem sie den besagten Antrag um Abklärung der Todesursache und um Einsicht in die rechtsmedizinischen Akten bei den iranischen Be- hörden gestellt hat, von irgendwelchen Drittpersonen entführt worden sein sollte. Nachdem die Beschwerdeführerin am (…) 2015 nach einem berufli- chen Termin bei (…) vor dem (…) abgepasst, während der Festhaltung von den Entführern zum Rückzug ihres Antrags gezwungen und bei den nach der Freilassung erfolgten telefonischen Drohungen erneut zur Unterlas- sung entsprechender Nachforschungen aufgefordert worden sei, kann kaum daran gezweifelt werden, dass die von ihr angestrebte Aufklärung der Umstände, die zum Tod ihres Vaters, der als (…) bei seinem Arbeitge- ber – mithin dem iranischen Staat – in Ungnade gefallen sei, der Auslöser für die Verfolgung gewesen ist. Gesamthaft betrachtet spricht die Verfol- gungssituation (Tochter eines bei einem Fenstersturz am Arbeitsplatz zu Tode gekommenen Staatsangestellten, Entführung durch mehrere Perso- nen wenige Tage nach der Eingabe des Gesuchs um Abklärung der Todes- umstände bei den iranischen Behörden, während der Festhaltung Befra- gung/Bedrohung durch mehrere Personen, erzwungener Rückzug des Ge- suchs, nach der Freilassung Überwachung und telefonische Bedrohung) auch nicht für ein Fehlverhalten einzelner Beamter aufgrund eines eigenen Interesses. Vielmehr ist davon auszugehen, dass die von der Beschwer- deführerin erlittenen Verfolgungsmassnahmen, welche eine asylrechtlich relevante Intensität aufweisen, den iranischen Behörden zuzurechnen sind. Diese zielten darauf ab, Kritik am Regime zu unterbinden, und sind damit letztlich als politisch motiviert zu qualifizieren. Die Beschwerdeführe- rin erfüllte damit im Zeitpunkt ihrer Ausreise aus dem Iran die Flüchtlings- eigenschaft gemäss Art. 3 AsylG. Zwar kann die Gewährung des Asyls nicht dazu dienen, einen Ausgleich für vergangenes Unrecht zu schaffen, sondern bezweckt, Schutz vor künf- tiger Verfolgung zu gewähren. Jedoch kann erlittene Verfolgung oder im Zeitpunkt der Ausreise bestandene begründete Furcht vor Verfolgung auf eine andauernde Gefährdung der betreffenden Person hinweisen (vgl. BVGE 2009/51 E. 4.2.5). Die Beurteilung einer begründeten Furcht vor künftiger Verfolgung hat einerseits aufgrund einer objektivierten Betrach- tungsweise zu erfolgen und ist andererseits durch das von der betroffenen Person bereits Erlebte und das Wissen um Konsequenzen in vergleichba- ren Fällen zu ergänzen. Wer bereits Verfolgungsmassnahmen ausgesetzt war, hat objektive Gründe für eine ausgeprägtere (subjektive) Furcht (vgl. BVGE 2014/27 E. 6.1 und 2010/57 E. 2). Die Nachforschungen der Be-</w:t>
      </w:r>
    </w:p>
    <w:p>
      <w:r>
        <w:t>D-4336/2020 Seite 14 schwerdeführerin zu den Umständen des Todes des Vaters und ihr diesbe- zügliches Gesuch um Abklärungen bei den iranischen Behörden im Jahr 2015 haben trotz der grossen zeitlichen Distanz zum Todesfall zu den be- sagten Verfolgungsmassnahmen asylbeachtlichen Ausmasses seitens der iranischen Behörden geführt. Zudem ist davon auszugehen, dass es bei einer Rückkehr der Beschwerdeführerin zwangsläufig bei der Einreise zu Kontakt mit den heimatlichen Behörden kommen würde. Die angesichts des Erlebten nachvollziehbare Furcht der Beschwerdeführerin vor weiteren flüchtlingsrechtlich relevanten behördlichen Übergriffen, müsste sie nach der illegalen Ausreise und dem mehrjährigen Aufenthalt im Ausland in den Iran zurückkehren, ist deshalb auch objektiv als begründet im Sinne von Art. 3 Abs. 1 AsylG zu erachten. Dabei ist insbesondere von Bedeutung, dass die behördlichen Massnahmen nach der Freilassung der Beschwer- deführerin – obschon sie den Rückzug der Beschwerde unterzeichnet hatte – noch nicht beendet waren. Vielmehr sah sie sich mit zwei Drohan- rufen konfrontiert und ihre Wohnung ist offenbar nach ihrem Weggang durchsucht worden. Der Umstand, dass die Botschaftsabklärung kein offi- ziell eingeleitetes Verfahren gegen die Beschwerdeführerin ergab, erweist sich nicht als entscheidend, da es gerade informelle Verfolgungsmassnah- men waren, welche die Beschwerdeführerin bereits erlitten hatte.</w:t>
      </w:r>
    </w:p>
    <w:p>
      <w:r>
        <w:rPr>
          <w:b/>
        </w:rPr>
        <w:t>E. 4.3</w:t>
      </w:r>
    </w:p>
    <w:p>
      <w:r>
        <w:t>Zusammenfassend ergibt sich, dass die Beschwerdeführerin die Flüchtlingseigenschaft gemäss Art. 3 AsylG erfüllt. Konkrete Hinweise auf das Vorliegen von Asylausschlussgründen im Sinne von Art. 53 AsylG ge- hen aus den Akten nicht hervor. Ihr ist daher in der Schweiz Asyl zu ge- währen.</w:t>
      </w:r>
    </w:p>
    <w:p>
      <w:r>
        <w:rPr>
          <w:b/>
        </w:rPr>
        <w:t>E. 5</w:t>
      </w:r>
    </w:p>
    <w:p>
      <w:r>
        <w:t>Nach dem Gesagten ist die Beschwerde gutzuheissen. Die angefochtene Verfügung ist aufzuheben und das SEM anzuweisen, die Beschwerdefüh- rerin gemäss Art. 3 AsylG als Flüchtling anzuerkennen und ihr in der Schweiz Asyl zu gewähren.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w:t>
      </w:r>
    </w:p>
    <w:p>
      <w:r>
        <w:t>D-4336/2020 Seite 15 im Zusammenhang mit dem Beschwerdeverfahren notwendigerweise er- wachsenen Parteikosten zuzusprechen. Seitens der Rechtsvertretung wurde mit Eingabe vom 30. März 2021 eine Kostennote eingereicht. Der Rechtsvertreter machte darin einen zeitlichen Aufwand von 7.25 Stunden, einen Stundenansatz von Fr. 220.– und Barauslagen von Fr. 40.30 gel- tend, was angemessen erscheint. Zudem wies er auf die Mehrwertsteuer- pflicht hin. Der Beschwerdeführerin ist somit zulasten des SEM eine Par- teientschädigung von insgesamt (gerundet) Fr. 1761.– zuzusprechen. (Dispositiv nächste Seite)</w:t>
      </w:r>
    </w:p>
    <w:p>
      <w:r>
        <w:t>D-4336/2020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