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D-4336/2014 vom 28. Mai 2015</w:t>
      </w:r>
    </w:p>
    <w:p>
      <w:r>
        <w:t>Bundesverwaltungsgericht, 2015-05-28, DE</w:t>
      </w:r>
    </w:p>
    <w:p>
      <w:r>
        <w:rPr>
          <w:b/>
        </w:rPr>
        <w:t xml:space="preserve">Quelle: </w:t>
      </w:r>
      <w:r>
        <w:t>https://mcp.opencaselaw.ch/entscheid/bvger_D-4336_2014</w:t>
      </w:r>
    </w:p>
    <w:p>
      <w:r>
        <w:t>FR: TAF D-4336/2014 du 28 mai 2015</w:t>
      </w:r>
    </w:p>
    <w:p>
      <w:r>
        <w:t>IT: TAF D-4336/2014 del 28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ablehnenden Verfügung führte die Vorinstanz im Wesentlichen aus, der Beschwerdeführer habe in der Anhörung als Hauptgrund für seine Flucht den Überfall auf das Büro in C._______, die damit verbundene Festnahme sowie die Furcht vor weiteren Verfolgungsmassnahmen genannt. In der Befragung im ersten Asylverfahren habe er diesen Sachverhalt indessen mit keinem Wort erwähnt, was nicht nachvollziehbar erscheine. Die Aussagen des Beschwerdeführers zu den geltend gemachten Fluchtgründen würden überdies diverse Widersprüche in zentralen Punkten enthalten. Dies treffe etwa für den Zeitpunkt zu, in welchem die Wahlfälschung entdeckt und publik gemacht worden sei. Auch zum Zeitpunkt der Präsidentschaftswahlen, anlässlich welcher der Wahlbetrug stattgefunden habe, habe der Beschwerdeführer unterschiedliche Angaben gemacht. Unterschiedlich habe er auch die Umstände des Überfalls auf das Büro in C._______ sowie die nachfolgenden Ereignisse geschildert. Aufgrund all dieser Widersprüche müsse die geltend gemachte Enthüllung von Wahlfälschungen und der darauf folgende Überfall auf das lokale Büro in C._______ als Sachverhaltskonstrukt qualifiziert werden. Zudem seien in den Aussagen des Beschwerdeführers weitere Ungereimtheiten in Bezug auf die geltend gemachten Vorkommnisse sowie die Organisation, in der er angeblich eine zentrale Rolle gespielt habe, enthalten. Dazu gehöre, dass er weder die geltend gemachte Enthüllung der Wahlfälschung noch den Überfall auf das Büro in C._______ habe belegen können. Bei einer Enthüllung im behaupteten Ausmass wäre zu erwarten, dass er dies zumindest mittels eines Zeitungsartikels oder eines sonstigen Beweismittels hätte belegen können. Der Beschwerdeführer habe sodann drei verschiedene Bezeichnungen für die Organisation, für die er tätig gewesen sein wolle, genannt. Im Rahmen einer amtsinternen Analyse seien keine Hinweise auf die von ihm erwähnte Organisation gefunden worden. Auf der Webpage des afghanischen Justizministeriums figuriere zwar die vom Beschwerdeführer genannte Organisation. Es erstaune indessen, dass nebst einem Eintrag auf der Webpage keine Spuren der angesprochenen NGO hätten aufgefunden werden können. Dies erscheine umso sonderbarer, als die Organisation gemäss seinen Angaben massive Wahlfälschungen publiziert und ungefähr 2500 bis 2700 freiwillige Mitglieder gehabt haben soll. Der eingereichte Mitgliederausweis enthalte sodann zahlreiche orthografische Fehler in der englischen Version, zudem wäre zu erwarten gewesen, dass die behauptete Stellung des Beschwerdeführers auf dem Ausweis in irgendeiner Form vermerkt gewesen wäre. Im Lichte dieser Überlegungen sei davon auszugehen, dass es offenbar einen kleinen kulturellen Verein mit dem Namen "D._______" in Afghanistan gegeben habe, jedoch habe der Beschwerdeführer seine Rolle, die behauptete Enthüllung von Wahlfälschungen, die Gründungsperson sowie die Dimension der Organisation nicht glaubhaft machen können. Zu dem vom Beschwerdeführer eingereichten Pass führte die Vorinstanz aus, einerseits erstaune es, dass die afghanische Botschaft in Brüssel Mitarbeitende nach Griechenland entsende, wie dies der Beschwerdeführer behaupte, um dort afghanischen Flüchtlingen Reisepässe mit dem Ausstellungsort Brüssel auszustellen. Anderseits widerspreche es der geltend gemachten intensiven staatlichen Verfolgung, wenn die offizielle Vertretung Afghanistans in Brüssel ihm einen Reisepass ausstelle. Hinsichtlich der weiteren Beweismittel (Drohbrief der Taliban sowie Schreiben an den Direktor für Nomadenangelegenheiten) sei aufgrund diverser Ungereimtheiten davon auszugehen, dass es sich um Fälschungen handle. Weitere eingereichte Beweismittel seien sodann selbst bei unterstellter Authentizität nicht geeignet, die Verfolgungsvorbringen zu belegen. Die Bestätigungsschreiben des Direktors sowie des Direktors ad interim der NGO seien überdies als Gefälligkeitsschreiben zu qualifizieren. Insgesamt sei davon auszugehen, dass die Vorbringen des Beschwerdeführers den Anforderungen an die Glaubhaftigkeit gemäss Art. 7 AsylG nicht standhielten, so dass deren Asylrelevanz nicht geprüft werden müsse. Den Wegweisungsvollzug erachtete die Vorinstanz als zulässig, zumutbar und möglich. Insbesondere bestehe für den Beschwerdeführer in Herat wegen seines Beziehungsnetzes, seiner überdurchschnittlichen Schulbildung und seiner Berufserfahrung eine zumutbare Aufenthaltsalternative.</w:t>
      </w:r>
    </w:p>
    <w:p>
      <w:r>
        <w:rPr>
          <w:b/>
        </w:rPr>
        <w:t>E. 5.2</w:t>
      </w:r>
    </w:p>
    <w:p>
      <w:r>
        <w:t>In der Beschwerde wurde diesen Erwägungen im Wesentlichen entgegnet, dass der Beschwerdeführer die Festnahme anlässlich der Befragung zur Person nicht erwähnt habe, sei ihm nicht anzulasten, da er nicht zu seinen Asylgründen befragt worden sei. Bei den verschiedenen Datumsangaben für die Präsidentschaftswahlen handle es sich sodann um ein Missverständnis zwischen dem Befrager und dem Beschwerdeführer. Hinsichtlich der Anzahl Personen, die in das Lokal der NGO eingedrungen seien, sei angesichts der damaligen Stresssituation durchaus möglich, dass er die Zahl der beteiligten Personen nicht registriert habe. Dass er anlässlich der Befragung im EVZ B._______ seine Festnahme nicht erwähnt habe, liege ebenfalls daran, dass er dort nicht vertieft befragt worden sei. Aufgrund der plötzlichen Flucht habe der Beschwerdeführer keine Beweismittel, etwa einen Zeitungsartikel, mitnehmen können. Er habe auch noch nicht gewusst, dass er in der Schweiz ein Asylgesuch stellen würde. Bei den verschiedenen Bezeichnungen der NGO sei sodann zu berücksichtigen, dass es sich teilweise um englische Übersetzungen handle. Die Organisation habe zwar seit 2001 existiert, sie sei aber erst 2007 registriert worden. Entgegen der Behauptung der Vorinstanz sei im Übrigen auf der eingereichten Mitgliederkarte vermerkt, dass er Organisationsvertreter von C._______ sei. Im Hinblick auf den eingereichten Pass führte der Beschwerdeführer aus, er habe den Botschaftsattaché, der ihm den Pass ausgestellt habe, bereits gekannt. Da die in Afghanistan gesuchten Personen bei den Botschaften nicht registriert würden, habe er sich an die Botschaft wenden können. Schliesslich sei auf dem eingereichten Drohbrief als Datum lediglich der Monat aufgeführt, und zwar des Kalenders, wie er überall in Afghanistan benützt werde. 6.1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 6.2 Dem Beschwerdeführer gelingt es nicht, mit seinen punktuellen Einwendungen die ausführlichen und sorgfältigen Erwägungen der Vor-instanz zu entkräften. So trifft es beispielsweise zwar zu, dass die Asylsuchenden im Rahmen der Befragungen zur Person nicht vertieft zu den Asylgründen befragt werden, indessen ist trotzdem davon auszugehen, dass der wesentliche Fluchtgrund genannt wird. Dass die Vorinstanz dieser divergierenden beziehungsweise fehlenden Aussage eine - den Besonderheiten der Summarbefragung - nicht angemessene Bedeutung zugemessen hätte, wird weder geltend gemacht, noch ist dies aus den Akten ersichtlich. Was der Beschwerdeführer sodann zu dem unterschiedlich genannten Zeitpunkt der Präsidentschaftswahlen ausführt, geht am Kern der Argumentation der Vorinstanz vorbei. Diese erwähnte zwar die verschieden genannten Daten der Präsidentschaftswahl, hielt aber im Wesentlichen fest, es sei nicht nachvollziehbar, dass der Beschwerdeführer zum Zeitpunkt der Entdeckung und Publikation der Wahlfälschungen unterschiedliche Angaben gemacht habe. Soweit der Beschwerdeführer auf Beschwerdeebene darlegt, er habe sich wegen des "Festnahmestresses" nicht an die Anzahl der beteiligten Personen erinnern können, so vermag dies nicht zu erklären, weshalb er noch anlässlich der früheren Befragung von konkreten Zahlen (sieben oder acht Personen) gesprochen hat. Nicht zu überzeugen vermag auch das Argument in der Beschwerde, der Beschwerdeführer habe seine Festnahme nur mangels entsprechender Nachfrage anlässlich der Befragung vom 1. März 2011 (vgl. B 5/12 S. 5 f.) nicht erwähnt. Klarzustellen ist im Weiteren, dass die Vorinstanz dem Beschwerdeführer nicht vorwirft, er hätte entsprechende Dokumente zur entdeckten Wahlfälschung mit auf die Flucht nehmen sollen. Vielmehr liegt auf der Hand, dass etwa entsprechende Zeitungsartikel auch im Nachhinein noch beschafft und eingereicht werden können. Als nicht stichhaltig erweist sich auch die Anmerkung des Beschwerdeführers in Bezug auf das Gründungsjahr der NGO. Selbst wenn zwischen Aufnahme der Aktivitäten und Eintragungsdatum zu unterscheiden wäre, vermöchte dies die substanziierte Argumentation der Vorinstanz in Bezug auf diverse Ungereimtheiten im Zusammengang mit der NGO nicht wesentlich zu entkräften. Als zutreffend sind auch die Erwägungen des BFM hinsichtlich der Passausstellung zu betrachten. Der Beschwerdeschrift lässt sich nichts zum Verhältnis des Beschwerdeführers zum Mitarbeiter der afghanischen Botschaft in Brüssel entnehmen, was dessen Handlungsweise - die Ausstellung eines Passes ohne Vorlage eines Originalidentitätspapiers (vgl. B 30/20 S. 3) - erklären würde. Eine entsprechende Erläuterung hätte sich angesichts der von der Vorinstanz aufgeführten Zweifel geradezu aufgedrängt. Unzutreffend ist schliesslich die Darstellung in der Beschwerdeschrift, auf dem eingereichten Drohbrief sei nur die Monatsbezeichnung aufgeführt (vgl. B 6 Beweismittel 1). 6.3 Nach dem Gesagten ist zusammenfassend festzuhalten, dass es dem Beschwerdeführer nicht gelungen ist, asylrechtlich relevante Verfolgungsgründe im Sinne von Art. 3 und Art. 7 AsylG glaubhaft zu machen, weshalb die Vorinstanz die Flüchtlingseigenschaft zu Recht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Hinsichtlich der Zumutbarkeit des Wegweisungsvollzugs hielt das Gericht in BVGE 2011/38 betreffend Herat fest, angesichts des Umstandes, dass die dortige Situation verhältnismässig ruhig sei, in der Stadt selbst keine Aktivitäten bewaffneter Gruppen zu verzeichnen seien und sich die Lage ähnlich wie in Kabul präsentiere, könne die Zumutbarkeit unter gewissen Umständen bejaht werden: Zufolge der konstanten Verschlechterung der Lage über die vergangenen Jahre hinweg und der auch in Herat schwierigen Situation verstehe es sich aber von selbst, dass die bereits in EMARK 2003 Nr. 10 formulierten strengen Bedingungen in jedem Einzelfall sorgfältig geprüft und erfüllt sein müssen. Unabdingbar sei in erster Linie ein soziales Netz, das sich im Hinblick auf die Aufnahme und Wiedereingliederung des Rückkehrers als tragfähig erweise. Ohne Unterstützung durch Familie oder Bekannte würden die schwierigen Lebensverhältnisse unweigerlich in eine existenzielle beziehungsweise lebensbedrohende Situation führen (vgl. für Herat BVGE 2011/38 E. 4.3.3.1 und 4.3.3.2 S. 818 ff. und für Kabul BVGE 2011/7 E. 9.9 S. 104 ff.). Diese vorstehend angeführte Praxis hat nach wie vor Gültigkeit.</w:t>
      </w:r>
    </w:p>
    <w:p>
      <w:r>
        <w:rPr>
          <w:b/>
        </w:rPr>
        <w:t>E. 8.4.2</w:t>
      </w:r>
    </w:p>
    <w:p>
      <w:r>
        <w:t>Das BFM hat in der angefochtenen Verfügung (Ziff. III.2) ausführlich und zutreffend begründet, weshalb im konkreten Einzelfall die Voraussetzungen für die Annahme der Zumutbarkeit im Hinblick auf eine Rückkehr in die Stadt Herat als erfüllt zu betrachten sind. Auf die entsprechenden Ausführungen kann verwiesen werden. Was dazu auf Beschwerdeebene dargelegt wird, ist nicht geeignet, die vorinstanzlichen Erwägungen zu entkräften. Die vorinstanzlichen Annahmen basieren auf den Angaben des Beschwerdeführers zu seinem sozialen Beziehungsnetz und der privilegierten Stellung der Familie. Inwiefern diese Schlussfolgerungen unzutreffend wären, wird in der Beschwerdeschrift nicht dargelegt. Lediglich zu behaupten, es könne nicht mit Sicherheit von diesen Annahmen ausgegangen werden, genügt nicht, die diesbezüglichen vorinstanzlichen Erwägungen umzustossen. Ebenso wenig geht aus der Beschwerde hervor, dass und weshalb das BFM zu Unrecht von einer überdurchschnittlichen Schulbildung ausgegangen ist, beziehungsweise weshalb der Beschwerdeführer - wie in der Beschwerde (S. 10) ausgeführt - nur über eine dürftige Schulbildung verfügen soll. Nach dem Gesagten erweist sich der Vollzug der Wegweisung auch als zumutbar.</w:t>
      </w:r>
    </w:p>
    <w:p>
      <w:r>
        <w:rPr>
          <w:b/>
        </w:rPr>
        <w:t>E. 8.5</w:t>
      </w:r>
    </w:p>
    <w:p>
      <w:r>
        <w:t>Schliesslich obliegt es dem Beschwerdeführer - soweit nötig -,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