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D-4335/2017 vom 24. Januar 2018</w:t>
      </w:r>
    </w:p>
    <w:p>
      <w:r>
        <w:t>Bundesverwaltungsgericht, 2018-01-24, DE</w:t>
      </w:r>
    </w:p>
    <w:p>
      <w:r>
        <w:rPr>
          <w:b/>
        </w:rPr>
        <w:t xml:space="preserve">Quelle: </w:t>
      </w:r>
      <w:r>
        <w:t>https://mcp.opencaselaw.ch/entscheid/bvger_D-4335_2017</w:t>
      </w:r>
    </w:p>
    <w:p>
      <w:r>
        <w:t>FR: TAF D-4335/2017 du 24 janvier 2018</w:t>
      </w:r>
    </w:p>
    <w:p>
      <w:r>
        <w:t>IT: TAF D-4335/2017 del 24 gennaio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Aufgrund der Zuweisung der Beschwerdeführerin in die Testphase des Verfahrenszentrums in B._______ kommt die Verordnung vom 4. September 2013 über die Durchführung von Testphasen zu den Beschleunigungsmassnahmen im Asylbereich (TestV, SR 142.318.1) zur Anwendung (Art. 1 und Art. 4 Abs. 1 TestV).</w:t>
      </w:r>
    </w:p>
    <w:p>
      <w:r>
        <w:rPr>
          <w:b/>
        </w:rPr>
        <w:t>E. 1.3</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und Art. 48 Abs.1 VwVG). Auf die frist- und formgerecht eingereichte Beschwerde ist einzutreten (Art. 108 Abs. 2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auf das Asylgesuch nicht ein (vgl. BVGE 2015/41 E. 3.1).</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anzuwenden (Prinzip der Hierarchie der Zuständigkeitskriterien; vgl. Art. 7 Abs. 1 Dublin-III-VO). Dabei ist von der Situation im Zeitpunkt, in dem der Asylsuchende erstmals einen Antrag in einem Mitgliedstaat gestellt hat, auszugehen (Art. 7 Abs. 2 Dublin-III-VO; vgl. BVGE 2012/4 E. 3.2; Filzwieser/Sprung, Dublin III-Verordnung, Wien 2014, K4 zu Art. 7).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 Bei einem Antragsteller, der über ein gültiges Visum verfügt, ist derjenige Mitgliedstaat für die Prüfung des Antrags auf internationalen Schutz zuständig, der das Visum erteilt hat (Art. 12 Abs. 2 Dublin-III-VO). Besitzt der Antragsteller ein Visum, das seit weniger als sechs Monaten abgelaufen ist, und aufgrund dessen er in das Hoheitsgebiet eines Mitgliedstaats einreisen konnte, ist Abs. 2 von Art. 12 Dublin-III-VO anwendbar, solange der Antragsteller das Hoheitsgebiet der Mitgliedstaaten nicht verlassen hat (Art. 12 Abs. 4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Vor der Erstentscheidung in der Sache kann sowohl der Mitgliedstaat, in dem ein Antrag auf internationalen Schutz gestellt worden ist und der das Verfahren zur Bestimmung des zuständigen Mitgliedstaates durchführt, als auch der zuständige Mitgliedstaat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4.1</w:t>
      </w:r>
    </w:p>
    <w:p>
      <w:r>
        <w:t>Vorliegend ist den Akten zu entnehmen, dass Italien der Beschwerdeführerin am (...) 2017 ein Schengen-Visum mit Gültigkeit vom 31. März 2017 bis 19. April 2017 ausgestellt hat. Ihren Angaben zufolge flog die Beschwerdeführerin am 1. April 2017 nach (mutmasslich) Italien. Einen Tag nach Ablauf des italienischen Visums stellte sie in der Schweiz ein Asylgesuch. Das SEM ersuchte deshalb die italienischen Behörden am 17. Mai 2017 um Aufnahme der Beschwerdeführerin gestützt auf Art. 12 Abs. 4 Dublin-III-VO. Die italienischen Behörden liessen das Übernahmeersuchen innert der in der Dublin-III-VO vorgesehenen Frist unbeantwortet, womit sie die Zuständigkeit Italiens implizit anerkannten (Art. 22 Abs. 7 Dublin-III-VO).</w:t>
      </w:r>
    </w:p>
    <w:p>
      <w:r>
        <w:rPr>
          <w:b/>
        </w:rPr>
        <w:t>E. 4.2</w:t>
      </w:r>
    </w:p>
    <w:p>
      <w:r>
        <w:t>Die Zuständigkeit Italiens für die Durchführung des Asyl- und Wegweisungsverfahrens der Beschwerdeführerin ist somit gegeben. Weder der Umstand, dass die Schweiz von Anfang an ihr Ziel gewesen sei, noch ihr Wunsch um Verbleib in der Schweiz vermag daran etwas zu ändern, zumal die Dublin-III-VO den Schutzsuchenden kein Recht einräumt, den ihren Antrag prüfenden Staat selber auszuwählen (vgl. auch BVGE 2010/40 E. 8.3).</w:t>
      </w:r>
    </w:p>
    <w:p>
      <w:r>
        <w:rPr>
          <w:b/>
        </w:rPr>
        <w:t>E. 5.1</w:t>
      </w:r>
    </w:p>
    <w:p>
      <w:r>
        <w:t>Im Lichte von Art. 3 Abs. 2 Dublin-III-VO ist sodann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5.2</w:t>
      </w:r>
    </w:p>
    <w:p>
      <w:r>
        <w:t>Italien ist Signatarstaat der EMRK, des Übereinkommens vom 10. Dezember 1984 gegen Folter und andere grausame, unmenschliche oder erniedrigende Behandlung oder Strafe (FoK, SR 0.105) und der FK sowie des Zusatzprotokolls der FK vom 31. Januar 1967 (SR 0.142.301) und kommt seinen diesbezüglichen völkerrechtlichen Verpflichtungen nach. Zwar steht das italienische Fürsorgesystem für Asylsuchende und Personen mit Schutzstatus in der Kritik (vgl. namentlich den von der Beschwerdeführerin genannten Bericht der SFH vom August 2016). Gemäss den bisherigen Erkenntnissen des Bundesverwaltungsgerichts werden Dublin-Rückkehrende und verletzliche Personen bezüglich Unterbringung von den italienischen Behörden indes bevorzugt behandelt. Auch nehmen sich private Hilfsorganisationen der Betreuung von Asylsuchenden und Flüchtlingen an (vgl. Urteil des BVGer E-6883/2016 vom 28. November 2016 E. 6). Insbesondere ist nicht erstellt, dass Italien systematisch gegen die Bestimmungen der Verfahrens- und Aufnahmerichtlinien verstösst. Diese Ansicht wird durch den EGMR bestätigt. Es liegen keine wesentlichen Gründe für die Annahme vor, das Asylverfahren und die Aufnahmebedingungen für Antragsteller in Italien würden systemische Schwachstellen aufweisen, die eine Gefahr einer unmenschlichen oder entwürdigenden Behandlung im Sinne des Artikels 4 der EU-Grundrechtecharta mit sich bringen (vgl. EGMR: Entscheidungen Ali und andere gegen Schweiz und Italien vom 4. Oktober 2016, 30474/14, § 33, sowie N.A. und andere gegen Dänemark vom 28. Juni 2016, 15636/16, § 27; vgl. auch statt vieler Urteil des BVGer E-4535/2017 vom 28. September 2017 E. 6.2). Unter diesen Umständen ist die Anwendung von Art. 3 Abs. 2 Dublin-III-VO nicht gerechtfertigt.</w:t>
      </w:r>
    </w:p>
    <w:p>
      <w:r>
        <w:rPr>
          <w:b/>
        </w:rPr>
        <w:t>E. 6.1</w:t>
      </w:r>
    </w:p>
    <w:p>
      <w:r>
        <w:t>Die Beschwerdeführerin fordert mit ihren Vorbringen, wonach man sich in Italien nicht um die Menschen kümmere, sie an gesundheitlichen Problemen leide und in der Schweiz über ein soziales Netz von Freunden und Bekannten verfüge,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w:t>
      </w:r>
    </w:p>
    <w:p>
      <w:r>
        <w:rPr>
          <w:b/>
        </w:rPr>
        <w:t>E. 6.2</w:t>
      </w:r>
    </w:p>
    <w:p>
      <w:r>
        <w:t>Unter dem Blickwinkel von Art. 17 Abs. 1 Dublin-III-VO ist zu prüfen, ob im konkreten Fall bei einer Überstellung eine Verletzung der EMRK oder anderer internationaler Verträge drohen würde, welche die Schweiz zur Anwendung der Souveränitätsklausel und zur Prüfung des Asylgesuchs verpflichten würde (vgl. BVGE 2010/45 E. 5 und 7.2). Zwar gilt im Rahmen des Dublin-Systems die Vermutung, dass alle Mitgliedstaaten des Dublin-Raums ihren völkerrechtlichen Verpflichtungen nachkommen. Diese Vermutung kann jedoch durch ernsthafte Hinweise darauf, dass die Behörden des zuständigen Staates im konkreten Fall das internationale Recht nicht respektieren, umgestossen werden (vgl. BVGE 2010/45 E. 7.4 f.).</w:t>
      </w:r>
    </w:p>
    <w:p>
      <w:r>
        <w:rPr>
          <w:b/>
        </w:rPr>
        <w:t>E. 6.2.1</w:t>
      </w:r>
    </w:p>
    <w:p>
      <w:r>
        <w:t>Vorliegend besteht kein Grund zur Annahme, dass die italienischen Behörden der Beschwerdeführerin, die sich gemäss eigenen Angaben auf ihrer Durchreise nicht um Aufnahme in das italienische Asylverfahren bemüht habe, die Aufnahme oder den Zugang zum Asylverfahren verweigern respektive in ihrem Fall den Grundsatz des Non-Refoulement missachten und sie zur Ausreise in ein Land zwingen würden, in dem ihr Leib, ihr Leben oder ihre Freiheit aus einem Grund nach Art. 3 Abs. 1 AsylG gefährdet wäre oder in dem sie Gefahr laufen würde, zur Ausreise in ein solches Land gezwungen zu werden. Mit der pauschalen Behauptung, in Italien kümmere man sich nicht um die Menschen, vermag die Beschwerdeführerin keine konkreten Anhaltspunkte darzulegen, die darauf hindeuten würden, Italien würde ihr dauerhaft die Rechte, die ihr aus den Verfahrens- und Aufnahmerichtlinien zustehen, vorenthalten. Bei einer allfälligen vorübergehenden Einschränkung könnte sie sich im Übrigen nötigenfalls an die italienischen Behörden wenden und die ihr zustehenden Aufnahmebedingungen auf dem Rechtsweg einfordern. Darüber hinaus nehmen sich, neben den staatlichen Strukturen, auch zahlreiche private Hilfsorganisationen der Betreuung von Asylsuchenden und Flüchtlingen in Italien an. Damit besteht kein Grund zur Annahme, die Beschwerdeführerin würde in Italien wegen fehlenden Zugangs zum Asylverfahren oder ungenügenden Aufenthaltsbedingungen in eine existenzielle Not geraten.</w:t>
      </w:r>
    </w:p>
    <w:p>
      <w:r>
        <w:rPr>
          <w:b/>
        </w:rPr>
        <w:t>E. 6.2.2</w:t>
      </w:r>
    </w:p>
    <w:p>
      <w:r>
        <w:t>Hinsichtlich der Berufung der Beschwerdeführerin auf gesundheitliche Probleme und den diesbezüglichen Einwand, die Überstellung nach Italien würde sie einer Gefahr für ihre Gesundheit aussetzen und damit Art. 3 EMRK verletzen, ist darauf hinzuweisen, dass eine zwangsweise Rückweisung von Personen mit gesundheitlichen Problemen nur ganz ausnahmsweise einen Verstoss gegen Art. 3 EMRK darstellen kann. Dies ist insbesondere dann der Fall, wenn sich die betroffene Person in einem fortgeschrittenen oder terminalen Krankheitsstadium und bereits in Todesnähe befindet, aufgrund des dermassen schlechten Zustands nach einer Überstellung mit dem sicheren Tod rechnen müsste und dabei keinerlei soziale Unterstützung erwarten könnte (vgl. BVGE 2011/9 E. 7 mit Hinweisen auf die damalige Praxis des EGMR). Eine weitere vom EGMR definierte Konstellation betrifft Schwerkranke, die aufgrund fehlender angemessener Behandlungsmöglichkeiten oder fehlenden Zugangs zum Gesundheitssystem im Zielstaat durch die Abschiebung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 vgl. auch Urteil des EuGH C-578/16 vom 16. Februar 2017 mit Hinweis auf das besagte Urteil des EGMR Paposhvili gegen Belgien). Kann eine Verletzung von Art. 3 EMRK nicht ausgeschlossen werden, ist eine Garantie hinsichtlich der individuell benötigten medizinischen Versorgung einzuholen (vgl. Urteil des EGMR Paposhvili gegen Belgien, § 187-191).</w:t>
      </w:r>
    </w:p>
    <w:p>
      <w:r>
        <w:rPr>
          <w:b/>
        </w:rPr>
        <w:t>E. 6.2.2.1</w:t>
      </w:r>
    </w:p>
    <w:p>
      <w:r>
        <w:t>Vorliegend ergibt sich aus den aktenkundigen Arztberichten, dass die Beschwerdeführerin an einer PTBS und mittelgradigen depressiven Episode leidet. Sie wird seit ihrer Ankunft in der Schweiz umfassend fachärztlich behandelt, vom (...) 2017 bis (...) 2017 in stationärem Rahmen, was laut dem Austrittsbericht der (...) vom 30. August 2017 zu einer deutlichen Stabilisierung mit guter Distanzierung von Suizidgedanken geführt habe. Beim Klinikaustritt am (...) 2017 wurden ihr Medikamente ([...]) zur Einnahme bei Bedarf abgegeben und es wurde eine Wiederaufnahme in etwa einem Monat vereinbart, dies mit dem Ziel, durch Fortführung der traumaspezifischen Psychotherapie eine weitere Stabilisierung und Reduktion der Symptome herbeizuführen, wobei die Notwendigkeit einer Weiterführung der besagten Therapie auch nach dem geplanten kommenden stationären Aufenthalt zu erwarten sei. Laut Mitteilung der Beschwerdeführerin vom 28. September 2017 sei der erneute Eintritt in die (...) für den (...) 2017 geplant. Der Eintritt erfolgte gemäss ärztlichem Bericht vom 14. Dezember 2017 am (...) 2017. Laut der Mitteilung vom 19. Januar 2018 wurde die Beschwerdeführerin am (...) (bei geplantem Wiedereintritt im Februar) aus der entsprechenden stationären Behandlung entlassen.</w:t>
      </w:r>
    </w:p>
    <w:p>
      <w:r>
        <w:rPr>
          <w:b/>
        </w:rPr>
        <w:t>E. 6.2.2.2</w:t>
      </w:r>
    </w:p>
    <w:p>
      <w:r>
        <w:t>Die diagnostizierte psychische Erkrankung der Beschwerdeführerin (PTBS und mittelgradige depressive Episode) vermag keine Unzulässigkeit im Sinne der restriktiven Rechtsprechung zu begründen. Die Erkrankung ist erheblich, aber nicht von einer derartigen Schwere, die ein reales Risiko der Verletzung von Art. 3 EMRK darstellt, oder derentwegen aus humanitären Gründen von einer Überstellung abgesehen werden müsste. Das SEM sah daher zu Recht davon ab, Garantien für den Zugang zu adäquater medizinischer Versorgung einzuholen (vgl. dazu Urteil des Bundesverwaltungsgerichts D-2177/2015 vom 11. Dezember 2017 E. 5 [zur Publikation vorgesehen]), zumal Italien über eine ausreichende medizinische Infrastruktur verfügt und verpflichtet ist, der Beschwerdeführerin als Dublin-Rückkehrende die erforderliche medizinische Versorgung (einschliesslich Behandlung psychischer Störungen) und sonstige Hilfe (einschliesslich geeigneter psychologischer Betreuung) zu gewähren (Art. 19 Abs. 1 und 2 Aufnahmerichtlinie). Es liegen keine Hinweise vor, wonach Italien der Beschwerdeführerin eine adäquate fachärztliche Behandlung und spezifische Versorgung verweigern würde. Die schweizerischen Behörden, die mit dem Vollzug der angefochtenen Verfügung beauftragt sind, werden den medizinischen Umständen bei der Bestimmung der konkreten Modalitäten der Überstellung der Beschwerdeführerin Rechnung tragen und - wie vom SEM in der Vernehmlassung ausgeführt - die italienischen Behörden vorgängig über die spezifischen medizinischen Umstände ausführlich informieren (vgl. Art. 31 f. Dublin-III-VO). Das SEM hat auch aufgezeigt, dass es den italienischen Behörden zwecks Sicherstellung der Fortführung der Behandlung einen aktuellen ärztlichen Bericht übermitteln wird, welcher über die Diagnose, die Art der bisherigen Behandlung und den indizierten weiteren Behandlungsbedarf Aufschluss gibt. Die italienischen Behörden werden damit in der Lage sein, die notwendigen Vorkehrungen für die nahtlose Betreuung und kontinuierliche Weiterbehandlung der Beschwerdeführerin zeitgerecht zu treffen. Konkrete Anhaltspunkte dafür, dass der Beschwerdeführerin bei einer Rückkehr nach Italien die von ihr benötigte Therapie verwehrt oder sie in eine medizinische Notlage geraten würde, sind damit nicht ersichtlich. Die auf Beschwerdeebene, unter Hinweis auf die Berichte der SFH vom August 2016 und 13. September 2017 (im Wesentlichen auf den Bericht vom August 2016 verweisend), geübte Kritik hinsichtlich Mängel in der medizinischen Versorgung in Italien vermag nicht zu einer anderen Betrachtung zu führen. Die im SFH-Bericht vom August 2016 thematisierten Erschwernisse hinsichtlich des Zugangs zu über die Grund- oder Notfallversorgung hinausgehender medizinischer Betreuung (Notwendigkeit der Vorlage einer Wohnsitzbestätigung für den Erhalt einer Gesundheitskarte) beziehen sich hauptsächlich auf in Italien anerkannte Flüchtlinge. Da die Beschwerdeführerin das Asylverfahren in Italien indes noch gar nicht durchlaufen hat und ihr als Dublin-Rückkehrende die Ansprüche aus den Richtlinien zustehen, erübrigen sich diesbezügliche weitergehende Abklärungen.</w:t>
      </w:r>
    </w:p>
    <w:p>
      <w:r>
        <w:rPr>
          <w:b/>
        </w:rPr>
        <w:t>E. 6.2.2.3</w:t>
      </w:r>
    </w:p>
    <w:p>
      <w:r>
        <w:t>Die gesundheitlichen Probleme der Beschwerdeführerin vermögen daher aufgrund des Gesagten einer Überstellung nach Italien nicht entgegenzustehen.</w:t>
      </w:r>
    </w:p>
    <w:p>
      <w:r>
        <w:rPr>
          <w:b/>
        </w:rPr>
        <w:t>E. 6.3</w:t>
      </w:r>
    </w:p>
    <w:p>
      <w:r>
        <w:t>Aus dem Verweis auf in der Schweiz lebende Freunde und Bekannte vermag die Beschwerdeführerin keine Rechtsansprüche abzuleiten, zumal diese nicht zur Kernfamilie gemäss Art. 2 Abs. g Dublin-III-VO zu zählen sind, und kein besonderes Abhängigkeitsverhältnis im Sinne von Art. 16 Dublin-III-VO vorliegt.</w:t>
      </w:r>
    </w:p>
    <w:p>
      <w:r>
        <w:rPr>
          <w:b/>
        </w:rPr>
        <w:t>E. 6.4</w:t>
      </w:r>
    </w:p>
    <w:p>
      <w:r>
        <w:t>Mit Bezug zum humanitären Selbsteintritt gemäss Art. 17 Dublin-III-VO in Verbindung mit Art. 29a Abs. 3 AsylV 1 ist festzuhalten, dass das SEM gemäss Praxis des Bundesverwaltungsgerichts bei der Anwendung der Kann-Bestimmung von Art. 29a Abs. 3 AsylV 1 über einen Ermessensspielraum verfügt (vgl. BVGE 2015/9 E. 7 f.). Seit der Kognitionsbeschränkung durch die Asylgesetzrevision vom 1. Februar 2014 (Streichung der Angemessenheitskontrolle gemäss aArt. 106 Abs. 1 Bst. c AsylG) überprüft das Gericht den vorinstanzlichen Verzicht der Anwendung von Art. 29a Abs. 3 AsylV 1 nicht mehr auf Angemessenheit hin; das Gericht beschränkt seine Beurteilung nunmehr darauf, ob das SEM den Sachverhalt diesbezüglich korrekt und vollständig erhoben, allen wesentlichen Umständen Rechnung getragen und seinen Ermessensspielraum korrekt ausgeübt hat (Art. 106 Abs. 1 Bst. a und b AsylG). Die angefochtene Verfügung ist unter diesem Blickwinkel nicht zu beanstanden; insbesondere sind den Akten keine Hinweise auf einen Ermessensmissbrauch oder ein Über- respektive Unterschreiten des Ermessens zu entnehmen. Das SEM hat alle relevanten Aspekte des vorliegenden Verfahrens berücksichtigt.</w:t>
      </w:r>
    </w:p>
    <w:p>
      <w:r>
        <w:rPr>
          <w:b/>
        </w:rPr>
        <w:t>E. 6.5</w:t>
      </w:r>
    </w:p>
    <w:p>
      <w:r>
        <w:t>Nach dem Gesagten besteht kein Grund für eine Anwendung der Ermessenklauseln von Art. 17 Dublin-III-VO. Der Vollständigkeit halber ist nochmals festzuhalten, dass die Dublin-III-VO den Schutzsuchenden kein Recht einräumt, den ihren Antrag prüfenden Staat selber auszuwählen (vgl. auch BVGE 2010/45 E. 8.3).</w:t>
      </w:r>
    </w:p>
    <w:p>
      <w:r>
        <w:rPr>
          <w:b/>
        </w:rPr>
        <w:t>E. 6.6</w:t>
      </w:r>
    </w:p>
    <w:p>
      <w:r>
        <w:t>Somit bleibt Italien der für die Behandlung des Asylgesuchs der Beschwerdeführerin zuständige Mitgliedstaat gemäss Dublin-III-VO. Italien ist verpflichtet, das Asylverfahren gemäss Art. 21, 22 und 29 Dublin-III-VO aufzunehmen.</w:t>
      </w:r>
    </w:p>
    <w:p>
      <w:r>
        <w:rPr>
          <w:b/>
        </w:rPr>
        <w:t>E. 7</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Italien in Anwendung von Art. 44 AsylG ebenfalls zu Recht angeordnet (Art. 32 Bst. a AsylV 1).</w:t>
      </w:r>
    </w:p>
    <w:p>
      <w:r>
        <w:rPr>
          <w:b/>
        </w:rPr>
        <w:t>E. 8</w:t>
      </w:r>
    </w:p>
    <w:p>
      <w:r>
        <w:t>Da das Fehlen von Überstellungshindernissen bereits Voraussetzung des Nichteintretensentscheids gemäss Art. 31a Abs. 1 Bst. b AsylG ist, sind allfällige Vollzugshindernisse gemäss Art. 83 Abs. 3 und 4 AuG (SR 142.20) unter diesen Umständen nicht mehr zu prüfen (vgl. BVGE 2015/18 E. 5.2 m.w.H.).</w:t>
      </w:r>
    </w:p>
    <w:p>
      <w:r>
        <w:rPr>
          <w:b/>
        </w:rPr>
        <w:t>E. 9</w:t>
      </w:r>
    </w:p>
    <w:p>
      <w:r>
        <w:t>Nach dem Gesagten ist die Beschwerde abzuweisen und die Verfügung des SEM zu bestätigen.</w:t>
      </w:r>
    </w:p>
    <w:p>
      <w:r>
        <w:rPr>
          <w:b/>
        </w:rPr>
        <w:t>E. 10</w:t>
      </w:r>
    </w:p>
    <w:p>
      <w:r>
        <w:t>Bei diesem Ausgang des Verfahrens wären die Kosten grundsätzlich der Beschwerdeführerin aufzuerlegen (Art. 63 Abs. 1 VwVG). Da ihr jedoch mit Zwischenverfügung vom 21. August 2017 die unentgeltliche Prozessführung gemäss Art. 65 Abs. 1 VwVG gewährt wurde,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