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D-4332/2020 vom 16. Juni 2022</w:t>
      </w:r>
    </w:p>
    <w:p>
      <w:r>
        <w:t>Bundesverwaltungsgericht, 2022-06-16, DE</w:t>
      </w:r>
    </w:p>
    <w:p>
      <w:r>
        <w:rPr>
          <w:b/>
        </w:rPr>
        <w:t xml:space="preserve">Quelle: </w:t>
      </w:r>
      <w:r>
        <w:t>https://mcp.opencaselaw.ch/entscheid/bvger_D-4332_2020</w:t>
      </w:r>
    </w:p>
    <w:p>
      <w:r>
        <w:t>FR: TAF D-4332/2020 du 16 juin 2022</w:t>
      </w:r>
    </w:p>
    <w:p>
      <w:r>
        <w:t>IT: TAF D-4332/2020 del 16 giugno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 schwerdeführerin hat am Verfahren vor der Vorinstanz teilgenommen, ist</w:t>
      </w:r>
    </w:p>
    <w:p>
      <w:r>
        <w:t>D-4332/2020 Seite 9 durch die angefochtene Verfügung besonders berührt und hat ein schutz- 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 geblich für die Beurteilung der Flüchtlingseigenschaft ist die Situation im Zeitpunkt des Asylentscheids.</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w:t>
      </w:r>
    </w:p>
    <w:p>
      <w:r>
        <w:t>D-4332/2020 Seite 10 Gesamtwürdigung der Vorbringen ergibt, dass die Gründe, die für die Rich- tigkeit der Sachverhaltsdarstellung des Gesuchstellenden sprechen, bei ei- ner objektivierten Sichtweise überwiegen oder nicht (vgl. BVGE 2015/3 E. 6.5.1, 2013/11 E. 5.1, 2012/5 E. 2.2).</w:t>
      </w:r>
    </w:p>
    <w:p>
      <w:r>
        <w:rPr>
          <w:b/>
        </w:rPr>
        <w:t>E. 4.1</w:t>
      </w:r>
    </w:p>
    <w:p>
      <w:r>
        <w:t>Die Vorinstanz kam in der angefochtenen Verfügung zum Schluss, dass die von der Beschwerdeführerin geltend gemachten Fluchtgründe die Flüchtlingseigenschaft gemäss Art. 3 AsylG nicht zu begründen vermöch- ten. Das Bundesverwaltungsgericht kommt nach Prüfung der Akten zum Schluss, dass dieser Einschätzung im Ergebnis beizupflichten ist (vgl. die nachfolgenden Ausführungen).</w:t>
      </w:r>
    </w:p>
    <w:p>
      <w:r>
        <w:rPr>
          <w:b/>
        </w:rPr>
        <w:t>E. 4.2</w:t>
      </w:r>
    </w:p>
    <w:p>
      <w:r>
        <w:t>Das SEM hat die Sachverhaltsdarstellung der Beschwerdeführerin nicht bestritten, wonach ihr erster Ehemann Staatsangestellter gewesen, im Jahr (…) bei einem Fenstersturz am Arbeitsplatz zu Tode gekommen sei und sie damals von behördlicher Seite dazu bewogen worden sei, der Sache nicht weiter nachzugehen. Ebenso unbestritten geblieben sind die Vorbringen, die als (…) tätige Tochter B._______ habe im Jahr 2015 Nach- forschungen zum Tod ihres verstorbenen Vaters gemacht und sei deswe- gen am (…) 2015 entführt, zum Rückzug ihres kurz davor bei den irani- schen Behörden eingereichten Antrags um nochmalige Untersuchung der Todesursache sowie um Einsicht in die gerichtsmedizinischen Akten ge- zwungen und nach der erfolgten Freilassung telefonisch mit dem Tod der ganzen Familie bedroht worden. Auch das Bundesverwaltungsgericht ge- langt aufgrund der Aktenlage zum Schluss, dass keine Veranlassung be- steht, die besagte Darstellung in Abrede zu stellen. Die Gründe, welche für die Richtigkeit der von der Beschwerdeführerin vorgebrachten Sachver- haltsdarstellung sprechen, überwiegen. Ihre Schilderungen weisen keine erheblichen Widersprüche und Ungereimtheiten auf. Auch in Gegenüber- stellung mit den Ausführungen ihrer Töchter in deren Verfahren vermitteln die Angaben der Beschwerdeführerin ein stimmiges Bild und vermögen insgesamt betrachtet in einem für die Glaubhaftigkeit genügenden Mass zu überzeugen. Das SEM sprach den fluchtauslösenden Verfolgungsmass- nahmen – die Entführung von B._______ und die nachfolgende telefoni- sche Bedrohung der Familie – aber die asylrechtliche Relevanz gemäss Art. 3 AsylG ab, weil es davon ausging, dass die Verfolgung nicht von staat- licher Seite, sondern seitens von Drittpersonen erfolgt sei. Es erscheint entgegen der Einschätzung des SEM jedoch unwahrscheinlich, dass B._______ nur kurze Zeit nachdem sie den besagten Antrag um Abklärung der Ursache des Todes ihres Vaters bei den iranischen Behörden gestellt</w:t>
      </w:r>
    </w:p>
    <w:p>
      <w:r>
        <w:t>D-4332/2020 Seite 11 hat, von irgendwelchen Drittpersonen entführt worden sein sollte. Das Bun- desverwaltungsgericht kommt im Verfahren von B._______ (D-4336/2020) denn auch zum Schluss, dass davon auszugehen ist, dass die von B._______ erlittenen Verfolgungsmassnahmen den iranischen Behörden zuzurechnen sind.</w:t>
      </w:r>
    </w:p>
    <w:p>
      <w:r>
        <w:rPr>
          <w:b/>
        </w:rPr>
        <w:t>E. 4.3</w:t>
      </w:r>
    </w:p>
    <w:p>
      <w:r>
        <w:t>Die Beschwerdeführerin machte geltend, dass ihr aufgrund des Vorge- hens ihrer Tochter B._______ Reflexverfolgung seitens der iranischen Be- hörden drohe. Der zweite Anruf, den B._______ nach der Freilassung er- halten habe und bei dem auch sie in die ausgesprochene Drohung einbe- zogen worden sei, zeige dies. Erstrecken sich Verfolgungsmassnahmen neben der primär betroffenen Person auf Familienangehörige und Ver- wandte, liegt eine Reflexverfolgung vor. Diese ist flüchtlingsrechtlich rele- vant, wenn die von der Reflexverfolgung betroffene Person ernsthaften Nachteilen im Sinne von Art. 3 Abs. 2 AsylG ausgesetzt ist oder sie die Zu- fügung solcher Nachteile mit beachtlicher Wahrscheinlichkeit und in abseh- barer Zukunft befürchten muss (vgl. BVGE 2007/19 E. 3.3 m.w.H.). Auch wenn die subjektiv empfundene Angst der Beschwerdeführerin durchaus verständlich ist, ist vorliegend aufgrund der Aktenlage nicht davon auszu- gehen, dass ihre Furcht vor flüchtlingsrechtlich relevanter Reflexverfolgung im Sinne von Art. 3 AsylG im Zeitpunkt der Ausreise aus dem Iran auch aus objektivierter Sicht begründet war. Nachdem ihre Tochter B._______ das bei den iranischen Behörden eingereichte Gesuch um Abklärung der Um- stände des Todes des Vaters vor der Ausreise zurückgezogen hat, ist nicht davon auszugehen, dass der Beschwerdeführerin persönlich in Zusam- menhang mit dem besagten (zurückgezogenen) Gesuch von B._______ allein aufgrund des Verwandtschaftsverhältnisses tatsächlich Reflexverfol- gungsmassnahmen asylbeachtlichen Ausmasses seitens der heimatlichen Behörden gedroht hätten. Der Einwand der Beschwerdeführerin, sie habe sowieso im Verdacht gestanden, entgegen der nach dem Tod ihres Ehe- mannes eingegangenen Verpflichtung zum Stillschweigen B._______ von den Todesumständen erzählt und diese aufgewiegelt zu haben, vermag an dieser Einschätzung nichts zu ändern. Konkrete Anhaltspunkte für den be- sagten Verdacht vermochte die Beschwerdeführerin nicht darzulegen.</w:t>
      </w:r>
    </w:p>
    <w:p>
      <w:r>
        <w:rPr>
          <w:b/>
        </w:rPr>
        <w:t>E. 4.4</w:t>
      </w:r>
    </w:p>
    <w:p>
      <w:r>
        <w:t>Nach dem Gesagten ist es der Beschwerdeführerin nicht gelungen, eine im Zeitpunkt ihrer Ausreise aus dem Iran Ende 2015 bestehende Re- flexverfolgung durch die heimatlichen Behörden respektive eine ihr damals mit beachtlicher Wahrscheinlichkeit unmittelbar drohende flüchtlingsrecht- lich relevante Gefährdung nachzuweisen oder zumindest glaubhaft zu ma- chen. Sie erfüllt damit die Flüchtlingseigenschaft gemäss Art. 3 AsylG nicht</w:t>
      </w:r>
    </w:p>
    <w:p>
      <w:r>
        <w:t>D-4332/2020 Seite 12 und das SEM hat das Asylgesuch zu Recht abgelehnt. Es erübrigt sich, auf die diesbezüglich weiteren Ausführungen in den Rechtsmitteleingaben nä- her einzugehen, da sie an der vorliegenden Würdigung des Sachverhalts nichts zu ändern vermögen.</w:t>
      </w:r>
    </w:p>
    <w:p>
      <w:r>
        <w:rPr>
          <w:b/>
        </w:rPr>
        <w:t>E. 5</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 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w:t>
      </w:r>
    </w:p>
    <w:p>
      <w:r>
        <w:t>D-4332/2020 Seite 13 EMRK darf niemand der Folter oder unmenschlicher oder erniedrigender Strafe oder Behandlung unterworfen werden.</w:t>
      </w:r>
    </w:p>
    <w:p>
      <w:r>
        <w:rPr>
          <w:b/>
        </w:rPr>
        <w:t>E. 6.2.2</w:t>
      </w:r>
    </w:p>
    <w:p>
      <w:r>
        <w:t>Das Prinzip des flüchtlingsrechtlichen Non-Refoulement schützt nur Personen, welche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zulässig.</w:t>
      </w:r>
    </w:p>
    <w:p>
      <w:r>
        <w:rPr>
          <w:b/>
        </w:rPr>
        <w:t>E. 6.2.3</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der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der Beschwerdeführerin unter Verweis auf die vorstehenden Ausführungen zum Asylpunkt nicht gelungen. Auch die all- gemeine Menschenrechtssituation im Iran lässt den Wegweisungsvollzug zum heutigen Zeitpunkt nicht als unzulässig erscheinen.</w:t>
      </w:r>
    </w:p>
    <w:p>
      <w:r>
        <w:rPr>
          <w:b/>
        </w:rPr>
        <w:t>E. 6.2.4</w:t>
      </w:r>
    </w:p>
    <w:p>
      <w:r>
        <w:t>Nach dem Gesagten ist der Vollzug der Wegweisung sowohl im Sinne der asyl- als auch der völkerrechtlichen Bestimmungen zulässig.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6.3.1</w:t>
      </w:r>
    </w:p>
    <w:p>
      <w:r>
        <w:t>Die allgemeine Lage im Iran ist weder durch Krieg, Bürgerkrieg noch durch eine Situation allgemeiner Gewalt gekennzeichnet. Trotz der dort herrschenden totalitären Staatsordnung und der sich daraus ergebenden Probleme wird der Vollzug der Wegweisung in den Iran daher in konstanter</w:t>
      </w:r>
    </w:p>
    <w:p>
      <w:r>
        <w:t>D-4332/2020 Seite 14 Praxis als generell zumutbar erachtet (vgl. statt vieler Urteil des BVGer D-2452/2020 vom 11. Mai 2022 E. 8.3.2).</w:t>
      </w:r>
    </w:p>
    <w:p>
      <w:r>
        <w:rPr>
          <w:b/>
        </w:rPr>
        <w:t>E. 6.3.2</w:t>
      </w:r>
    </w:p>
    <w:p>
      <w:r>
        <w:t>Die Vorinstanz legte in der angefochtenen Verfügung dar (vgl. auch vorstehend Bst. C.b), weshalb dem Wegweisungsvollzug der Beschwerde- führerin auch keine individuellen Gründe entgegenstehen würden. Diesen Ausführungen wird von der anwaltlich vertretenen Beschwerdeführerin in der Beschwerdeschrift nichts Substanzielles (vgl. Beschwerde S. 10 Ziff. 14 und 15) entgegengehalten. Aufgrund der Aktenlage ist nicht davon auszugehen, die Beschwerdeführerin werde bei einer Rückkehr in den Iran aus individuellen Gründen wirtschaftlicher und sozialer Natur in eine exis- tenzielle Notlage geraten. Zwar ist sie bereits (…) Jahre alt und ihren An- gaben zufolge war sie nie in relevantem Umfang berufstätig (vgl. SEM-act. 22 zu F38). Dennoch war sie offenbar – während längerer Zeit als alleiner- ziehende Mutter von (…) Kindern – in der Lage, ihre Familie zu finanzieren und ihren Kindern gute Ausbildungen (vgl. SEM-act. A22 zu F45f.) zu er- möglichen. Ihr geschiedener Ex-Mann habe weder zu seinem eigenen Un- terhalt noch zum Unterhalt der Familie Wesentliches beigetragen (vgl. SEM-act. A22 zu F50ff.). Sodann war es ihr und den beiden erwachsenen Töchtern möglich – ob nun mit eigenen finanziellen Mitteln und/oder Unter- stützung des seit vielen Jahren in der Schweiz lebenden Sohnes – für zwei mehrwöchige Ferienaufenthalte in die Schweiz zu reisen (vgl. SEM-act. A5 S. 4f. und A22 zu F62). Aus ihren Aussagen ergibt sich, dass sie (wie im Übrigen auch die Kinder) nach dem Tod ihres ersten Ehemannes eine Rente erhalten hat (vgl. SEM-act. 22 zu F39 ff., Anmerkung zu F41 bei Rückübersetzung). Sie brachte nicht vor, sie habe diese nach ihrer Wie- derverheiratung beziehungsweise Scheidung nicht mehr erhalten. Ebenso wenig legte sie dar, die Rente werde ihr bei einer Rückkehr nicht mehr aus- bezahlt. Allein die Behauptung in der Beschwerde, sie verfüge über keiner- lei Einkommen, vermag den Wegfall der Rente nicht zu belegen. Selbst wenn ihr somit ein Einstieg in das Erwerbsleben im Iran heute nicht möglich sein wird, ist anzunehmen, sie verfüge dank der Rente über gewisse finan- zielle Mittel. Angesichts der Angaben der Beschwerdeführerin zu ihren bei- den im Ausland lebenden Söhnen (vgl. SEM-act. A22 zu 53ff.) ist sodann die Annahme gerechtfertigt, diese könnten zumindest für eine Übergangs- phase eine gewisse finanzielle Unterstützung leisten. Unbestritten ist, dass die Beschwerdeführerin über ein verwandtschaftliches Beziehungsnetz (Geschwister) im Heimatland verfügt. Auch wenn es zutreffen sollte, dass diese keine (wesentliche) finanzielle Unterstützung zu leisten bereit oder in der Lage sein sollten (vgl. SEM-act. A22 zu F26 f. und F61), darf doch da- von ausgegangen werden, dass die Beschwerdeführerin bei der Rückkehr</w:t>
      </w:r>
    </w:p>
    <w:p>
      <w:r>
        <w:t>D-4332/2020 Seite 15 beispielsweise betreffend (vorübergehender) Unterkunft und Wohnungssu- che nicht völlig auf sich allein gestellt sein wird. Hinzu kommt, dass im Falle der Beschwerdeführerin, die den überwiegenden Teil ihres Erwachsenen- lebens in D._______ verbrachte (vgl. SEM-act. A5 Ziff. 2.01), vom Beste- hen eines sozialen Beziehungsnetzes oder zumindest von der Möglichkeit dessen Reaktivierung ausgegangen werden darf. Relevante gesundheitli- che Beeinträchtigungen werden schliesslich keine geltend gemacht und sind aus den Akten auch nicht ersichtlich (vgl. SEM-act. A22 zu F109ff.). Selbstverständlich verkennt das Bundesverwaltungsgericht nicht, dass die Rückkehr ohne ihre beiden Töchter (vgl. Urteile vom heutigen Tag in den Beschwerdeverfahren D-4336/2020 und D-4338/2020) die Beschwerde- führerin vor eine nicht unerhebliche Herausforderung stellt. Dies ändert je- doch nichts daran, dass sich in ihrem Fall der Vollzug der Wegweisung unter Berücksichtigung sämtlicher relevanter Umstände in individueller Hinsicht als zumutbar im Sinne von Art. 83 Abs. 4 AIG erweist.</w:t>
      </w:r>
    </w:p>
    <w:p>
      <w:r>
        <w:rPr>
          <w:b/>
        </w:rPr>
        <w:t>E. 6.3.3</w:t>
      </w:r>
    </w:p>
    <w:p>
      <w:r>
        <w:t>Nach dem Gesagten stehen dem Vollzug der Wegweisung in Bezug auf die Zumutbarkeit keine Vollzugshindernisse entgegen.</w:t>
      </w:r>
    </w:p>
    <w:p>
      <w:r>
        <w:rPr>
          <w:b/>
        </w:rPr>
        <w:t>E. 6.4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Bei diesem Ausgang des Verfahrens wären die Kosten der Beschwer- deführerin aufzuerlegen (Art. 63 Abs. 1 VwVG). Da ihr jedoch mit Verfü- gung vom 14. Oktober 2020 die unentgeltliche Prozessführung gewährt wurde und weiterhin von der prozessualen Bedürftigkeit auszugehen ist, ist von der Kostenerhebung abzusehen.</w:t>
      </w:r>
    </w:p>
    <w:p>
      <w:r>
        <w:t>D-4332/2020 Seite 16</w:t>
      </w:r>
    </w:p>
    <w:p>
      <w:r>
        <w:rPr>
          <w:b/>
        </w:rPr>
        <w:t>E. 8.2</w:t>
      </w:r>
    </w:p>
    <w:p>
      <w:r>
        <w:t>Nachdem der rubrizierte Rechtsvertreter als unentgeltlicher Rechtsbei- stand beigeordnet wurde (vgl. ebenfalls Verfügung vom 14. Oktober 2020), ist er für seinen Aufwand unbesehen des Verfahrensausgangs zu entschä- digen. Bei der Bemessung des Honorars wird nur der notwendige Aufwand entschädigt (vgl. Art. 8 des Reglements vom 21. Februar 2008 über die Kosten und Entschädigungen vor dem Bundesverwaltungsgericht [VGKE, SR 173.320.2]), und die Rechtsvertretung wurde vom Gericht in der Ernen- nungsverfügung vom 14. Oktober 2020 über die in der Regel angewende- ten Stundenansätze informiert. Der Rechtsvertreter reichte mit Eingabe vom 30. März 2021 eine Kosten- note ein. Er bezifferte den zeitlichen Aufwand mit 6.85 Stunden und bean- tragte einen Stundenansatz von Fr. 220.–. Zudem machte er Auslagen von Fr. 33.– geltend und wies auf die bestehende Mehrwertsteuerpflicht hin. Der zeitliche Aufwand scheint angesichts der in wesentlichen Teilen über- einstimmenden Ausführungen mit denjenigen im Beschwerdeverfahren der Tochter B._______ nicht vollumfänglich angemessen, er ist auf insgesamt 4 Stunden zu kürzen. Der geltend gemachte Stundenansatz entspricht dem in der Verfügung vom 14. Oktober 2020 genannten Rahmen. Das amt- liche Honorar ist somit vorliegend auf (gerundet) Fr. 984.– (inkl. Auslagen und Mehrwertsteuer) festzusetzen.</w:t>
      </w:r>
    </w:p>
    <w:p>
      <w:r>
        <w:t>(Dispositiv nächste Seite)</w:t>
      </w:r>
    </w:p>
    <w:p>
      <w:r>
        <w:t>D-4332/2020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