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D-4331/2016 vom 15. September 2017</w:t>
      </w:r>
    </w:p>
    <w:p>
      <w:r>
        <w:t>Bundesverwaltungsgericht, 2017-09-15, DE</w:t>
      </w:r>
    </w:p>
    <w:p>
      <w:r>
        <w:rPr>
          <w:b/>
        </w:rPr>
        <w:t xml:space="preserve">Quelle: </w:t>
      </w:r>
      <w:r>
        <w:t>https://mcp.opencaselaw.ch/entscheid/bvger_D-4331_2016</w:t>
      </w:r>
    </w:p>
    <w:p>
      <w:r>
        <w:t>FR: TAF D-4331/2016 du 15 septembre 2017</w:t>
      </w:r>
    </w:p>
    <w:p>
      <w:r>
        <w:t>IT: TAF D-4331/2016 del 15 settembre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Partei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Auf ein Wiedererwägungsgesuch ist einzutreten, wenn sich der rechtserhebliche Sachverhalt seit dem ursprünglichen Entscheid beziehungsweise in wesentlicher Weise verändert hat und mithin die ursprüngliche (fehlerfreie) Verfügung an die nachträglich eingetretenen Veränderungen der Sachlage anzupassen ist.</w:t>
      </w:r>
    </w:p>
    <w:p>
      <w:r>
        <w:rPr>
          <w:b/>
        </w:rPr>
        <w:t>E. 4.2</w:t>
      </w:r>
    </w:p>
    <w:p>
      <w:r>
        <w:t>Das SEM hat den grundsätzlichen Anspruch der Beschwerdeführerin auf Behandlung ihres Wiedererwägungsgesuchs nicht in Abrede gestellt. Im vorliegenden Beschwerdeverfahren ist zu prüfen, ob das SEM (aus heutiger Sicht) zu Recht davon ausgegangen ist, dass die Vorbringen der Beschwerdeführerin die Sachlage nicht derart verändern, als dass die Voraussetzungen für die Überstellung nach Ungarn gestützt auf die Dublin-III-VO nicht mehr gegeben wären.</w:t>
      </w:r>
    </w:p>
    <w:p>
      <w:r>
        <w:rPr>
          <w:b/>
        </w:rPr>
        <w:t>E. 5.1</w:t>
      </w:r>
    </w:p>
    <w:p>
      <w:r>
        <w:t>Hinsichtlich der Lage in Ungarn hat das Bundesverwaltungsgericht im als Referenzurteil publizierten Entscheid D-7853/2015 vom 31. Mai 2017 die Entwicklung der Situation für Asylsuchende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Referenzurteil D-7853/2015 vom 31. Mai 2017 E. 13).</w:t>
      </w:r>
    </w:p>
    <w:p>
      <w:r>
        <w:rPr>
          <w:b/>
        </w:rPr>
        <w:t>E. 5.2</w:t>
      </w:r>
    </w:p>
    <w:p>
      <w:r>
        <w:t>Aus denselben Gründen ist es dem Gericht auch vorliegend nicht möglich, die sich im Zusammenhang mit einer Überstellung der Beschwerdeführerin nach Ungarn stellenden Fragen zu beurteilen. Die angefochtene Verfügung ist folglich aufzuheben und die Sache zur vollständigen Sachverhaltsfeststellung sowie zu neuer Entscheidung an die Vorinstanz zurückzuweisen.</w:t>
      </w:r>
    </w:p>
    <w:p>
      <w:r>
        <w:rPr>
          <w:b/>
        </w:rPr>
        <w:t>E. 5.3</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6</w:t>
      </w:r>
    </w:p>
    <w:p>
      <w:r>
        <w:t>Bei diesem Ausgang des Verfahrens sind - unabhängig von der gewährten unentgeltlichen Prozessführung - keine Kosten zu erheben (Art. 63 Abs. 1 und 2 VwVG).</w:t>
      </w:r>
    </w:p>
    <w:p>
      <w:r>
        <w:rPr>
          <w:b/>
        </w:rPr>
        <w:t>E. 7</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mit seiner Eingabe vom 13. März 2017 eine Honorarnote ein. Der geltend gemachte zeitliche Aufwand kann - mit Ausnahme des als nicht notwendig zu erachtenden Aufwandes für den Mail-Verkehr vom 20./21. Februar 2017 - als insgesamt (einschliesslich der Eingaben vom 6. Juli 2017 und 25. Juli 2017) angemessen betrachtet werden. Gestützt auf die in Betracht zu ziehenden Bemessungsfaktoren (Art. 9-13 VGKE) ist der Beschwerdeführerin zulasten des SEM demnach eine Parteientschädigung von insgesamt Fr. 1806.65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