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D-4327/2021 vom 6. Juli 2022</w:t>
      </w:r>
    </w:p>
    <w:p>
      <w:r>
        <w:t>Bundesverwaltungsgericht, 2022-07-06, DE</w:t>
      </w:r>
    </w:p>
    <w:p>
      <w:r>
        <w:rPr>
          <w:b/>
        </w:rPr>
        <w:t xml:space="preserve">Quelle: </w:t>
      </w:r>
      <w:r>
        <w:t>https://mcp.opencaselaw.ch/entscheid/bvger_D-4327_2021</w:t>
      </w:r>
    </w:p>
    <w:p>
      <w:r>
        <w:t>FR: TAF D-4327/2021 du 6 juillet 2022</w:t>
      </w:r>
    </w:p>
    <w:p>
      <w:r>
        <w:t>IT: TAF D-4327/2021 del 6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Die vorliegende Beschwerde erweist sich – wie nachstehend aufge- zeigt – als offensichtlich unbegründet und ist im Verfahren einzelrichterli- cher Zuständigkeit mit Zustimmung eines zweiten Richters beziehungs- weise einer zweiten Richterin (Art. 111 Bst. e AsylG) und mit summarischer Begründung zu behandeln (Art. 111a Abs. 1 und 2 AsylG).</w:t>
      </w:r>
    </w:p>
    <w:p>
      <w:r>
        <w:rPr>
          <w:b/>
        </w:rPr>
        <w:t>E. 2.2</w:t>
      </w:r>
    </w:p>
    <w:p>
      <w:r>
        <w:t>Gestützt auf Art. 111a Abs. 1 AsylG wurde vorliegend auf einen Schrif- tenwechsel verzichtet.</w:t>
      </w:r>
    </w:p>
    <w:p>
      <w:r>
        <w:t>D-4327/2021 Seite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3.2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3.3</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4.1</w:t>
      </w:r>
    </w:p>
    <w:p>
      <w:r>
        <w:t>Der Beschwerdeführer reichte nachträglich entstandene Beweismittel ein. Vorliegend hat die Vorinstanz den Anspruch des Beschwerdeführers auf Behandlung seines Wiedererwägungsgesuchs vom 3. Dezember 2020 nicht in Abrede gestellt und ist auf dieses eingetreten.</w:t>
      </w:r>
    </w:p>
    <w:p>
      <w:r>
        <w:t>D-4327/2021 Seite 6</w:t>
      </w:r>
    </w:p>
    <w:p>
      <w:r>
        <w:rPr>
          <w:b/>
        </w:rPr>
        <w:t>E. 4.2</w:t>
      </w:r>
    </w:p>
    <w:p>
      <w:r>
        <w:t>Das Bundesverwaltungsgericht hat nachfolgend zu prüfen, ob sie mit Entscheid vom 30. August 2021 zutreffend das Bestehen der geltend ge- machten Wiedererwägungsgründe verneint und zu Recht an der ursprüng- lichen Verfügung vom 16. November 2018 festgehalten hat.</w:t>
      </w:r>
    </w:p>
    <w:p>
      <w:r>
        <w:rPr>
          <w:b/>
        </w:rPr>
        <w:t>E. 5.1</w:t>
      </w:r>
    </w:p>
    <w:p>
      <w:r>
        <w:t>Die Vorinstanz stellte zunächst fest, der Beschwerdeführer wolle wie- dererwägungsweise mit den nachträglich entstandenen neuen Beweismit- teln (vgl. Buchstabe D des vorliegenden Urteils) seine Bedrohung bezie- hungsweise Verfolgung durch seinen Schwager N.S. im Heimatstaat sowie den fehlenden Schutzwillen der kurdischen Behörden belegen. Sie begrün- dete alsdann ihren Entscheid hauptsächlich damit, dass die vom Be- schwerdeführer eingereichten Textnachrichten an seinen Bekannten D. leicht fälschbar seien und somit nur einen geringen Beweiswert aufweisen würden. Weiter würden sie aber auch bei angenommener Authentizität keine Hinweise auf eine fehlende Schutzfähigkeit oder einen fehlenden Schutzwillen der kurdischen Behörden enthalten. Vielmehr würden die ein- gereichten Unterlagen gerade den genannten behördlichen Schutz aufzei- gen, indem die Behörde eine strafrechtliche Untersuchung aufgrund der Anzeige von D. eingeleitet habe. Die Erwägungen im Entscheid vom 16. November 2018 zum staatlichen Schutz würden nach wie vor ihre unein- geschränkte Gültigkeit behalten. Es sei mangels Substantiierung auch nicht nachzuvollziehen, weshalb dem Beschwerdeführer die Inanspruch- nahme des Schutzes aus persönlichen Gründen nicht zuzumuten wäre. Die Konsultationen der Dossiers seiner Familienangehörigen (Mutter, N 652 679; Schwester S., N 652 674; Schwester T., N 652 678) würden als- dann zu keiner anderen Einschätzung der Vorbringen führen.</w:t>
      </w:r>
    </w:p>
    <w:p>
      <w:r>
        <w:rPr>
          <w:b/>
        </w:rPr>
        <w:t>E. 5.2</w:t>
      </w:r>
    </w:p>
    <w:p>
      <w:r>
        <w:t>In der Beschwerde wird – nebst der Wiederholung der Vorbringen im Asylverfahren – hauptsächlich und sinngemäss vorgebracht, die Bedro- hung im Irak seitens des Schwagers sei immer noch aktuell und bei den mit dem Wiedererwägungsgesuch vom 3. Dezember 2020 eingereichten Textnachrichten handle es sich um anonyme Drohnachrichten an einen im Irak lebenden Bekannten D., welche zum Ziel hätten, den Aufenthalt des Beschwerdeführers in Erfahrung zu bringen. Der fehlende behördliche Schutzwille gehe aus den auf Beschwerdeebene zusätzlich eingereichten und damit ebenfalls im Zusammenhang stehenden zwei Registrierungsfor- mularen für den Abschluss eines Prepaid Abonnements-Vertrages (Pre- paid Abo), dem Schreiben der Telefongesellschaft KOREK an das Unter-</w:t>
      </w:r>
    </w:p>
    <w:p>
      <w:r>
        <w:t>D-4327/2021 Seite 7 suchungsgericht von Duhok vom 21. Juni 2021 beziehungsweise 27. Sep- tember 2020 und den Kopien irakischer Pässe hervor. Diese neuen Be- weise habe er von seiner Anwältin im Heimatland beschaffen können.</w:t>
      </w:r>
    </w:p>
    <w:p>
      <w:r>
        <w:t>Sinngemäss führte er zur Begründung aus, zwei einflussreiche PDK-Mit- glieder (Inhaber der Sim-Karte 07512396693 sowie «Usama Akrem Mo- hammad») hätten mit einem Prepaid-Handy den Freund D. des Beschwer- deführers im Irak mittels anonymer Textnachrichten bedroht, um seinen Aufenthaltsort beziehungsweise den seiner Familie in Erfahrung zu brin- gen. Den eingereichten Beweismitteln könne entnommen werden, dass die Prepaid Abos storniert worden seien, weil sich der Verkäufer nicht an die dafür geltenden Geschäftsbedingungen gehalten habe. Die Personalien auf den Handyverträgen samt Passkopien seien von der Telefongesell- schaft KOREK an die Untersuchungsbehörde beziehungsweise die Polizei weitergeleitet worden und dennoch sei es der Behörde nicht möglich, die Identität der Beschuldigten aufzudecken. Dies belege, dass die Polizei nicht in der Lage sei, Personen aus dem Kreis der PDK festzunehmen. Der Zugang zur vorliegend vom Staat zur Verfügung gestellten funktionieren- den und effizienten Schutzinfrastruktur sei für den Beschwerdeführer nur theoretisch möglich, da sich die Behörden aufgrund der Verflechtung von N.S. mit dem Polizei- und Politapparat in der ARK nicht trauen würden, ihn zu schützen. Deshalb sei es ihm auch aus individuellen Gründen – nament- lich wegen der privaten Bedrohungen durch N.S. und aufgrund der clanar- tigen Strukturen im Irak – nicht zumutbar, den staatlichen Schutz in An- spruch zu nehmen.</w:t>
      </w:r>
    </w:p>
    <w:p>
      <w:r>
        <w:rPr>
          <w:b/>
        </w:rPr>
        <w:t>E. 6</w:t>
      </w:r>
    </w:p>
    <w:p>
      <w:r>
        <w:t>Mit dem Wiedererwägungsgesuch vom 3. Dezember 2020 und mit der Be- schwerde vom 29. September 2021 macht der Beschwerdeführer neu ent- standene Beweise geltend, mit welchen er die Bedrohung seitens des Schwagers N.S. und den wegen dessen Einfluss (zu seinem Nachteil bis- her unbewiesen gebliebene) fehlenden Schutzwillen der Behörden bele- gen möchte. Im genannten Urteil D-7150/2018 des Bundesverwaltungsge- richts vom 24. Februar 2020 wurde bereits rechtskräftig über die fehlende Erfüllung der Flüchtlingseigenschaft des Beschwerdeführers im Zeitpunkt der Ausreise entschieden wie auch darüber, dass es sich bei den Asylvor- bringen des Beschwerdeführers um eine private Behelligung seitens N.S. handle, welche nicht aus einem in Art. 3 Abs. 1 AsylG aufgeführten Motiv erfolge und damit keine asylrechtliche Relevanz habe. Die vorinstanzlichen Erwägungen können als zutreffend bestätigt werden (geringer Beweiswert ausgedruckter Textnachrichten von anonymen Verfassern; Demonstration</w:t>
      </w:r>
    </w:p>
    <w:p>
      <w:r>
        <w:t>D-4327/2021 Seite 8 des Schutzwillens der Behörden mit den eingereichten Unterlagen). Im Weiteren vermögen die auf Beschwerdeebene zusätzlich neu eingereichten Beweismittel keinen Zusammenhang mit der als unglaubhaft befundenen Verfolgung durch N.S. sowie dessen Verflechtung mit der ARK darzulegen. Auf den Handyabonnementsverträgen wurden zwar Identitäten beziehungsweise Personalien (der mutmasslich anonymen Verfasser der Textnachrichten) samt Kopien von Identiätspapieren angegeben, aber die Angaben sind unleserlich beziehungsweise unkenntlich. Es ist deshalb nachzuvollziehen, dass diese unklaren Angaben die Einstellung der polizeilichen Ermittlungen im Irak zur Folge hatte. Daraus kann jedenfalls entgegen der Behauptung des Beschwerdeführers nicht auf einen fehlenden behördlichen Schutzwillen oder eine fehlende behördliche Schutzfähigkeit geschlossen werden. Die Beweismittel sind damit unerheblich (selbst wenn ein asylrelavntes Verfolgungsmotiv angenommen würde). Weder dies noch die bereits bisher unglaubhafte Verfolgung des Beschwerdeführers wurden als erhebliche Tatsachen mit entsprechend tauglichen Beweismitteln dargetan. Schliesslich wurde vom Beschwerdeführer keine wesentliche Veränderung der Sachlage vorgebracht.</w:t>
      </w:r>
    </w:p>
    <w:p>
      <w:r>
        <w:rPr>
          <w:b/>
        </w:rPr>
        <w:t>E. 7</w:t>
      </w:r>
    </w:p>
    <w:p>
      <w:r>
        <w:t>Das SEM hat demnach zu Recht das Wiedererwägungsgesuch des Be- schwerdeführers abgelehnt. Die Beschwerde ist abzuweisen und die Ver- fügung des SEM vom 31. August 2021 zu bestätigen.</w:t>
      </w:r>
    </w:p>
    <w:p>
      <w:r>
        <w:rPr>
          <w:b/>
        </w:rPr>
        <w:t>E. 8</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r>
        <w:t>D-4327/2021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