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D-4320/2024 vom 2. Februar 2026</w:t>
      </w:r>
    </w:p>
    <w:p>
      <w:r>
        <w:t>Bundesverwaltungsgericht, 2026-02-02, DE</w:t>
      </w:r>
    </w:p>
    <w:p>
      <w:r>
        <w:rPr>
          <w:b/>
        </w:rPr>
        <w:t xml:space="preserve">Quelle: </w:t>
      </w:r>
      <w:r>
        <w:t>https://mcp.opencaselaw.ch/entscheid/bvger_D-4320_2024</w:t>
      </w:r>
    </w:p>
    <w:p>
      <w:r>
        <w:t>FR: TAF D-4320/2024 du 2 février 2026</w:t>
      </w:r>
    </w:p>
    <w:p>
      <w:r>
        <w:t>IT: TAF D-4320/2024 del 2 febbraio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Der Beschwerdeführer beantragt die vollumfängliche Aufhebung der angefochtenen Verfügung, ersucht materiell aber lediglich um Rückweisung der Sache zur erneuten Beurteilung an die Vorinstanz und eventualiter um Anordnung der vorläufigen Aufnahme. Angesichts dessen und aufgrund der Beschwerdebegründung ist davon auszugehen, dass sich die vorliegende Beschwerde ausschliesslich gegen den von der Vorinstanz angeordneten Vollzug der Wegweisung (Dispositivziffern 4 und 5) richtet. Die Dispositivziffern 1 bis 3 sind demnach mangels Anfechtung in Rechtskraft erwachsen und bilden nicht Gegenstand des Beschwerdeverfahrens.</w:t>
      </w:r>
    </w:p>
    <w:p>
      <w:r>
        <w:rPr>
          <w:b/>
        </w:rPr>
        <w:t>E. 3</w:t>
      </w:r>
    </w:p>
    <w:p>
      <w:r>
        <w:t>Die Kognition des Bundesverwaltungsgerichts und die zulässigen Rügen richten sich im Bereich des Ausländerrechts nach Art. 49 VwVG (vgl. BVGE 2014/26 E. 5).</w:t>
      </w:r>
    </w:p>
    <w:p>
      <w:r>
        <w:rPr>
          <w:b/>
        </w:rPr>
        <w:t>E. 4</w:t>
      </w:r>
    </w:p>
    <w:p>
      <w:r>
        <w:t>Für den Beschwerdeentscheid ist die im Zeitpunkt seiner Ausfällung bestehende Aktenlage massgeblich (vgl. BVGE 2012/21 E. 5).</w:t>
      </w:r>
    </w:p>
    <w:p>
      <w:r>
        <w:rPr>
          <w:b/>
        </w:rPr>
        <w:t>E. 5</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6.1</w:t>
      </w:r>
    </w:p>
    <w:p>
      <w:r>
        <w:t>In formeller Hinsicht wird in der Beschwerde insbesondere gerügt, die Vorinstanz habe den Vollzug der Wegweisung nach Guinea ungenügend abgeklärt. Dem Beschwerdeführer drohe eine schwere Verschlechterung seines Gesundheitszustandes bei einer Rückkehr in sein Heimatland. Ferner verfüge er über keine Ausbildung, was seine Wiedereingliederung in die Gesellschaft erschwere. Die Organisation rocCONAKRY, welche sich angeblich bereit erklärt habe, sich um den Beschwerdeführer zu kümmern, publiziere ihre Jahresberichte seit 2021 nicht mehr, was die Frage aufwerfe, ob die Organisation weiterhin aktiv sei.</w:t>
      </w:r>
    </w:p>
    <w:p>
      <w:r>
        <w:rPr>
          <w:b/>
        </w:rPr>
        <w:t>E. 6.2</w:t>
      </w:r>
    </w:p>
    <w:p>
      <w:r>
        <w:t>Damit macht der Beschwerdeführer vorliegend eine unrichtige respektive unvollständige Feststellung des rechtserheblichen Sachverhaltes geltend und rügt damit eine Verletzung des Untersuchungsgrundsatzes. Diese formelle Rüge ist vorab zu beurteilen, da sie gegebenenfalls geeignet ist, eine Kassation der vorinstanzlichen Verfügung zu bewirken (vgl. BVGE 2013/34 E. 4.2; Kölz/Häner/Bertschi/Bundi, Verwaltungsverfahren und Verwaltungsrechtspflege des Bundes, 4. Aufl. 2025, Rz. 1043 ff. m.w.H.).</w:t>
      </w:r>
    </w:p>
    <w:p>
      <w:r>
        <w:rPr>
          <w:b/>
        </w:rPr>
        <w:t>E. 6.3</w:t>
      </w:r>
    </w:p>
    <w:p>
      <w:r>
        <w:t>Im Asylverfahren gilt - wie in anderen Verwaltungsverfahren - der Untersuchungsgrundsatz (Art. 6 AsylG i.V.m. Art. 12 VwVG). Danach stellt die Behörde den Sachverhalt von Amtes wegen fest. Die Behörde muss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BVGE 2012/21 E. 5; Kölz/Häner/Bertschi/Bundi, a.a.O., Rz. 1043). Der Untersuchungsgrundsatz findet seine Grenze in der Mitwirkungspflicht der Asylsuchenden (Art. 8 AsylG; Art. 13 VwVG; zum Ganzen BVGE 2016/27 E. 9.1.1 m.w.H.).</w:t>
      </w:r>
    </w:p>
    <w:p>
      <w:r>
        <w:rPr>
          <w:b/>
        </w:rPr>
        <w:t>E. 6.4</w:t>
      </w:r>
    </w:p>
    <w:p>
      <w:r>
        <w:t>Gemäss Rechtsprechung des Bundesverwaltungsgerichts verpflichten Art. 3 und Art. 22 des Übereinkommens über die Rechte des Kindes vom 20. November 1989 (Kinderrechtskonvention, KRK, SR 0.107) die asylrechtlichen Behörden, das Kindeswohl im Rahmen der Prüfung der Zumutbarkeit des Wegweisungsvollzugs als gewichtigen Aspekt zu berücksichtigen. Das SEM ist bezüglich unbegleiteter minderjähriger Asylsuchender verpflichtet abzuklären, ob diese zu ihren Eltern oder anderen Angehörigen zurückgeführt werden können und ob jene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Auch gemäss Art. 69 Abs. 4 AIG (SR 142.20) hat das SEM vor der Ausschaffung einer unbegleiteten minderjährigen Person sicherzustellen, dass diese im Rückkehrstaat einem Familienmitglied, einem Vormund oder einer Aufnahmeeinrichtung übergeben werden kann, welche den Schutz des Kindes gewährleistet.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(vgl. EMARK 1997 Nr. 23 E. 5, 1998 Nr. 13 E. 5e/bb und 2006 Nr. 24 E. 6.2.4, bestätigt in BVGE 2021 VI/3).</w:t>
      </w:r>
    </w:p>
    <w:p>
      <w:r>
        <w:rPr>
          <w:b/>
        </w:rPr>
        <w:t>E. 6.5</w:t>
      </w:r>
    </w:p>
    <w:p>
      <w:r>
        <w:t>Eine Verletzung der Mitwirkungspflicht durch die minderjährige Person entbindet das SEM grundsätzlich nicht von dieser Abklärungspflicht. Nur in Ausnahmefällen, in welchen eine Abklärung durch die Mitwirkungspflichtverletzung vollkommen verunmöglicht wird, erlischt die behördliche Abklärungspflicht. Dies kann beispielsweise der Fall sein, wenn sich die minderjährige Person in Bezug auf ihre Nationalität und Herkunft so widerspricht, dass weder Abklärungen betreffend die familiäre Situation möglich sind noch eine geeignete Institution gesucht werden kann (vgl. BVGE 2021 VI/3 E. 11.5.2 m.w.H.).</w:t>
      </w:r>
    </w:p>
    <w:p>
      <w:r>
        <w:rPr>
          <w:b/>
        </w:rPr>
        <w:t>E. 6.6.1</w:t>
      </w:r>
    </w:p>
    <w:p>
      <w:r>
        <w:t>Die Vorinstanz hat in der angefochtenen Verfügung die Minderjährigkeit des Beschwerdeführers als glaubhaft erachtet (vgl. Verfügung des SEM vom 5. Juni 2024, Ziff. I, Nr. 3, S. 3). Die Tatsache, dass es sich beim Beschwerdeführer um einen unbegleiteten minderjährigen Asylsuchenden handelt (Art. 1a Bst. d der Asylverordnung 1 vom 11. August 1999 über Verfahrensfragen [AsylV 1, SR 142.311]), hat zur Folge, dass erhöhte Anforderungen an die Zumutbarkeit des Wegweisungsvollzugs zu stellen und diese von Amtes wegen zu prüfen sind (vgl. BVGE 2015/30 E. 7.2, 2009/51 E. 5.6; Urteil des BVGer E-6824/2024 vom 19. Dezember 2023 E. 5.2.1 m.w.H.). Die Vorinstanz ist somit verpflichtet, von Amtes wegen konkret abzuklären, ob der minderjährige Beschwerdeführer effektiv bei einem Familienmitglied beziehungsweise - wenn dies nicht möglich oder mit dem Kindeswohl nicht vereinbar ist - anderweitig untergebracht und betreut werden kann.</w:t>
      </w:r>
    </w:p>
    <w:p>
      <w:r>
        <w:rPr>
          <w:b/>
        </w:rPr>
        <w:t>E. 6.6.2</w:t>
      </w:r>
    </w:p>
    <w:p>
      <w:r>
        <w:t>Die Vorinstanz stützt sich in der angefochtenen Verfügung vorwiegend darauf, dass die Organisation rocCONAKRY die Bereitschaft und die Kapazität habe, den Beschwerdeführer bei seiner Rückkehr nach Guinea zu betreuen und ihn bei der Wiedervereinigung mit seiner Familie zu unterstützen (vgl. SEM-act. [...]-40/2). Die Vereinbarung zwischen dem SEM und der Organisation basiere auf einem Vertrag vom 19. Oktober 2021. In ihrer Vernehmlassung vom 28. August 2024 verweist die Vorinstanz insbesondere auf die durch rocCONAKRY abgegebenen Garantien und hält fest, dass rocCONAKRY eine moderne und integre Organisation sei, wie der aktuelle Jahresbericht des Präsidenten zeige.</w:t>
      </w:r>
    </w:p>
    <w:p>
      <w:r>
        <w:rPr>
          <w:b/>
        </w:rPr>
        <w:t>E. 6.6.3</w:t>
      </w:r>
    </w:p>
    <w:p>
      <w:r>
        <w:t>Das Bundesverwaltungsgericht kommt nach Durchsicht der Akten zum Schluss, dass die Vorinstanz ihrer Abklärungspflicht aus heutiger Sicht vorliegend nicht ausreichend nachgekommen ist. Nach gesicherten Erkenntnissen hat das SEM mittlerweile die Zusammenarbeit mit rocCONARKY beendet (vgl. Urteil des BVGer E-3115/2025 vom 15. Mai 2025 E. 6.4.2). Aufgrund dieser Tatsache kann nicht (mehr) davon ausgegangen werden, dass der Beschwerdeführer bei einer Rückkehr nach Guinea von der Organisation rocCONAKRY betreut werden kann und er über eine gesicherte Unterbringungsmöglichkeit verfügt. Ob der Beschwerdeführer zu seiner Mutter und seiner Schwester zurückkehren kann, hat die Vorinstanz in ihrer Verfügung nicht abgeklärt. Demzufolge ist nicht geklärt, ob der minderjährige Beschwerdeführer bei einer Rückkehr in sein Heimatland effektiv bei einem Familienmitglied oder anderweitig betreut werden kann. Eine Verletzung der Mitwirkungspflicht des Beschwerdeführers, die die Vorinstanz von ihren Abklärungspflichten entbinden würde (vgl. E. 6.5), wird von der Vorinstanz nicht geltend gemacht und ist vorliegend auch nicht ersichtlich.</w:t>
      </w:r>
    </w:p>
    <w:p>
      <w:r>
        <w:rPr>
          <w:b/>
        </w:rPr>
        <w:t>E. 6.7</w:t>
      </w:r>
    </w:p>
    <w:p>
      <w:r>
        <w:t>Demzufolge hat die Vorinstanz den rechtserheblichen Sachverhalt vorliegend unvollständig festgestellt.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Die Beschwerde ist insoweit gutzuheissen, als die angefochtene Verfügung in den Dispositivziffern 4 und 5 aufzuheben und die Sache im Wegweisungsvollzugspunkt zur vollständigen Feststellung des Sachverhalts sowie zur Neubeurteilung im Sinne der Erwägungen an die Vorinstanz zurückzuweisen ist. Die Erstellung des Sachverhalts bedarf weiterer Abklärungen, die den Rahmen des Beschwerdeverfahrens sprengen würden. Zudem ginge dem Beschwerdeführer bei der Vornahme der Abklärungen durch das Bundesverwaltungsgericht eine Instanz verloren. Die Vorinstanz ist daher gehalten, die notwendigen konkreten Abklärungen zur Rückkehr des Beschwerdeführers nach Guinea im Sinne der Erwägungen vorzunehmen. Anschliessend wird sie unter Berücksichtigung der Erkenntnisse sowie in umfassender Würdigung aller für das Kindeswohl relevanter Kriterien und der gesundheitlichen Situation des Beschwerdeführers erneut über den Wegweisungsvollzug entscheiden.</w:t>
      </w:r>
    </w:p>
    <w:p>
      <w:r>
        <w:rPr>
          <w:b/>
        </w:rPr>
        <w:t>E. 8.1</w:t>
      </w:r>
    </w:p>
    <w:p>
      <w:r>
        <w:t>Bei diesem Ausgang des Verfahrens sind keine Kosten zu erheben (Art. 63 Abs. 1 und 2 VwVG). Damit ist die mit Zwischenverfügung vom 16. Juli 2024 gewährte unentgeltliche Prozessführung und folglich auch die unentgeltliche Rechtsverbeiständung gegenstandslos geworden (vgl. auch unten E. 7.2).</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750.-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