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D-4320/2023 vom 20. Februar 2024</w:t>
      </w:r>
    </w:p>
    <w:p>
      <w:r>
        <w:t>Bundesverwaltungsgericht, 2024-02-20, FR</w:t>
      </w:r>
    </w:p>
    <w:p>
      <w:r>
        <w:rPr>
          <w:b/>
        </w:rPr>
        <w:t xml:space="preserve">Quelle: </w:t>
      </w:r>
      <w:r>
        <w:t>https://mcp.opencaselaw.ch/entscheid/bvger_D-4320_2023</w:t>
      </w:r>
    </w:p>
    <w:p>
      <w:r>
        <w:t>FR: TAF D-4320/2023 du 20 février 2024</w:t>
      </w:r>
    </w:p>
    <w:p>
      <w:r>
        <w:t>IT: TAF D-4320/2023 del 20 febbraio 2024</w:t>
      </w:r>
    </w:p>
    <w:p>
      <w:pPr>
        <w:pStyle w:val="Heading2"/>
      </w:pPr>
      <w:r>
        <w:t>Regeste</w:t>
      </w:r>
    </w:p>
    <w:p>
      <w:r>
        <w:t>Asile et renvoi</w:t>
      </w:r>
    </w:p>
    <w:p>
      <w:pPr>
        <w:pStyle w:val="Heading2"/>
      </w:pPr>
      <w:r>
        <w:t>Erwägungen</w:t>
      </w:r>
    </w:p>
    <w:p>
      <w:r>
        <w:rPr>
          <w:b/>
        </w:rPr>
        <w:t>E. 6</w:t>
      </w:r>
    </w:p>
    <w:p>
      <w:r>
        <w:t>février 2023 a été pris en considération dans la décision querellée ; que le Secrétariat d’Etat n’a donc pas violé son devoir de motivation, que partant, les griefs d’ordre formel soulevés par le recourant s’avèrent mal fondés et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D-4320/2023 Page 5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l’intéressé, ressortissant turc, d’ethnie kurde et de religion alévie, a déclaré être (…) et avoir vécu, avant son départ, à B._______ avec sa famille, qu'il a expliqué avoir fui son pays d’origine pour des motifs économiques, identitaires et académiques, que s’agissant du premier motif, il a mis en avant la cherté de la vie en Turquie, plus précisément le prix des livres que tout étudiant doit acquérir au cours de ses études, qu’en ce qui concerne le motif identitaire, il a fait valoir qu'en raison de son origine ethnique kurde et sa religion alévie, il était considéré dans son pays d'origine comme un citoyen de seconde zone, invoquant notamment les pressions et discriminations qu'il avait subies dès son plus âge, à l'école en particulier (mépris de la part des enseignants et de ses camarades ainsi qu’inégalités de traitement) et le harcèlement policier dont il faisait l’objet, qu’en lien avec le dernier motif, il a mis en avant le manque de perspective d’emploi pour les diplômés des hautes écoles et le piètre état du système éducatif turque, qu’il a produit, sous forme originale, sa carte d’identité et son passeport, que dans sa décision du 7 juillet 2023, le SEM a considéré que les motifs avancés par l’intéressé n’étaient pas pertinents au regard de l’art. 3 LAsi, notamment faute d’intensité suffisante ; qu’il a en substance relevé que la situation générale à laquelle était confrontée l'ensemble de la minorité</w:t>
      </w:r>
    </w:p>
    <w:p>
      <w:r>
        <w:t>D-4320/2023 Page 6 kurde et alévie en Turquie n’était, à elle seule, pas suffisante pour la reconnaissance de la qualité de réfugié ; qu’il a par ailleurs considéré que les préjudices qu’aurait subis l’intéressé n’étaient pas d’une intensité suffisante pour être déterminants au sens de la disposition précitée, que le SEM a d’autre part tenu l’exécution de son renvoi pour licite, raisonnablement exigible et possible, que dans son recours du 9 août 2023, l’intéressé a pour l’essentiel contesté l’appréciation du SEM quant à la situation générale des alévis kurdes en Turquie, mettant également en avant les menaces formulées par la police à son encontre et sa qualité de membre de l’association (…), qu’à l’appui de celui-ci, il a produit plusieurs documents, soit en particulier des articles de presse relatifs au tremblement de terre de février 2023, aux pressions policières et aux menaces exercées à l’encontre des membres du HDP, ainsi qu’une pièce intitulée "Stellungnahme von Frauen gegen die Spionnagetätigkeit", qu'en l'espèce, le recourant n'a pas démontré que les exigences légales requises pour la reconnaissance de la qualité de réfugié et l’octroi de l’asile étaient remplies, que tant les motifs économiques qu’académiques qu’il met en avant (cherté de la vie, défaillance du système éducatif et absence de toute perspective d'avenir) auxquelles, dans le pays concerné, chacun peut être confronté, ne sont pas pertinents en matière d’asile, qu’il en va de même en ce qui concerne les motifs identitaires, que, de manière générale, l’ethnie kurde et la confession alévie, dont se prévaut l’intéressé, ne sont pas des éléments suffisants à eux seuls pour fonder une crainte de persécution future au sens de l’art. 3 LAsi ; que rien ne permet en particulier de considérer que les exigences très élevées pour admettre une persécution collective (cf. à ce sujet ATAF 2014/32 consid. 7.2 ; 2011/16 consid. 5 et jurisp. cit.) soient réalisées (cf. arrêts du Tribunal D-3801/2021 du 3 septembre 2021 p. 8 ; D-1914/2019 du 4 janvier 2021 consid. 6 ; E-2358/2020 du 31 août 2020 consid. 7.4),</w:t>
      </w:r>
    </w:p>
    <w:p>
      <w:r>
        <w:t>D-4320/2023 Page 7 qu’il est certes connu que les membres de la population kurde en Turquie font l'objet de mesures discriminatoires de toutes sortes ; qu’en outre, on ne peut exclure une éventuelle discrimination à l'encontre des personnes ayant une orientation religieuse différente ; que cependant, ces mesures n’ont pas, en règle générale, l'intensité requise pour la reconnaissance du statut de réfugié (cf. notamment arrêt du Tribunal D-1036/2021 du 25 mars 2021 p.8), que les discriminations, brimades et moqueries qu’aurait subies l’intéressé à l’école ne sont, comme l’a relevé à bon escient le SEM, pas d’une intensité suffisante pour constituer de sérieux préjudices au sens de l’art. 3 LAsi, que le harcèlement policier auquel il dit avoir été soumis n’est pas non plus déterminant, n’ayant pas revêtu, d’un point de vue objectif, une intensité suffisante pour constituer une persécution au sens de cette disposition (cf. p-v du 8 mai 2023, questions n° 22 à 25), que les autres motifs qu’il invoque (en particulier l’absence de soutien du gouvernement turc suite au tremblement de terre de février 2023), ne sont pas non plus pertinents en matière d’asile, que, par ailleurs, il paraît exclu que le recourant ait pris le risque de quitter son pays, en avion depuis C._______, muni de son passeport et par la voie légale, s’il savait être dans le collimateur des autorités de son pays, que sa qualité de membre du Parti démocratique des peuples (Halklarin Demokratik Partisi, ci-après : HDP) et d’une association alévie, qu’il ne met en avant qu’au stade du recours seulement, semble être avancée pour les besoins de la cause, qu’elle n’est quoi qu’il en soit pas déterminante, qu’en effet, même si ce fait devait être connu des autorités turques, en particulier de la police, il ne constituerait pas une raison suffisante pour admettre une crainte objectivement fondée d’être exposé dans un avenir prochain à une persécution à son retour au pays (cf. dans le même sens, arrêt du Tribunal E-4481/2023 du 7 septembre 2023 p. 9), que les moyens de preuve versés au dossier ne changent rien à cette appréciation,</w:t>
      </w:r>
    </w:p>
    <w:p>
      <w:r>
        <w:t>D-4320/2023 Page 8 qu’en effet, les articles de presse et la prise de position ne se rapportant pas directement à sa situation personnelle, ils ne lui sont d’aucune utilité, que partant, il n’a pas établi à satisfaction de droit avoir une crainte objectivement fondée de subir de sérieux préjudices au sens de l'art. 3 LAsi, en cas de retour dans son pays d’origine, qu’au contraire, compte tenu de sa réponse à la question de savoir ce qu’il se passerait pour lui s’il devait retourner dans son pays d’origine – à savoir qu’il devrait travailler pendant quelques années pour pouvoir s’acheter des livres, avant de s’inscrire au centre d’apprentissage –, force est de constater qu’il semble ne craindre aucune persécution, de quelque nature que ce soit (cf. p-v du 8 mai 2023, question n° 28),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par ailleurs, il n’a présenté aucun élément concret et sérieux permettant d’admettre qu’il serait exposé en Turquie à des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w:t>
      </w:r>
    </w:p>
    <w:p>
      <w:r>
        <w:t>D-4320/2023 Page 9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le recourant provient certes d’une des onze régions touchées par le séisme du 6 février 2023 (B._______) ; que toutefois, c’est à raison que le SEM a retenu que la liberté d’établissement qui existe en Turquie lui permettra de s’installer, si nécessaire, dans une autre région du pays (cf. arrêts du Tribunal E-4196/2023 du 16 août 2023 consid. 8.3.1 s. ; E-5243/2022 du 5 janvier 2023 consid. 9.3.2), comme par exemple à C._______, dans l’appartement appartenant à (…) (cf. cause connexe D-4227/2023), que par ailleurs, il ne ressort pas du dossier que le recourant pourrait être mis concrètement en danger pour des motifs qui lui sont propres, qu'en effet, il est jeune et sans charge de famille, qu’une fois sa maturité obtenue, il pourra entamer des études supérieures dans son pays d’origine ou y chercher un emploi ; qu’il pourra, sur place, compter sur le soutien – moral et financier – de sa famille ; qu’il n’a pas allégué, ni a fortiori établi, souffrir de problèmes de santé particuliers qui impliqueraient un risque majeur en cas de retour, que l’asthme dont il a dit souffrir (cf. p-v du 8 mai 2023, question n°15) n’est manifestement pas de nature à faire obstacle à son retour au pays et pourra, au besoin, être traité sur place (cf. arrêt du Tribunal E-3413/2019 du 27 mars 2020 consid. 7.3.1.3), qu'il convient pour le surplus de renvoyer aux considérants de la décision attaquée dès lors que ceux-ci sont suffisamment explicites et motivés,</w:t>
      </w:r>
    </w:p>
    <w:p>
      <w:r>
        <w:t>D-4320/2023 Page 10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l’intéressé, le 25 septembre 2023,</w:t>
      </w:r>
    </w:p>
    <w:p>
      <w:r>
        <w:t>(dispositif : page suivante)</w:t>
      </w:r>
    </w:p>
    <w:p>
      <w:r>
        <w:t>D-4320/2023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