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D-4315/2023 vom 28. Juli 2023</w:t>
      </w:r>
    </w:p>
    <w:p>
      <w:r>
        <w:t>Bundesverwaltungsgericht, 2023-07-28, DE</w:t>
      </w:r>
    </w:p>
    <w:p>
      <w:r>
        <w:rPr>
          <w:b/>
        </w:rPr>
        <w:t xml:space="preserve">Quelle: </w:t>
      </w:r>
      <w:r>
        <w:t>https://mcp.opencaselaw.ch/entscheid/bvger_D-4315_2023_d20230728</w:t>
      </w:r>
    </w:p>
    <w:p>
      <w:r>
        <w:t>FR: TAF D-4315/2023 du 28 juillet 2023</w:t>
      </w:r>
    </w:p>
    <w:p>
      <w:r>
        <w:t>IT: TAF D-4315/2023 del 28 luglio 2023</w:t>
      </w:r>
    </w:p>
    <w:p>
      <w:pPr>
        <w:pStyle w:val="Heading2"/>
      </w:pPr>
      <w:r>
        <w:t>Regeste</w:t>
      </w:r>
    </w:p>
    <w:p>
      <w:r>
        <w:t>Nichteintreten auf Asylgesuch und Wegweisung (Dublin-Verfahren - Art. 31a Abs. 1 Bst. b AsylG) | Nichteintreten auf Asylgesuch und Wegweisung (Dublin-Verfahren); Verfügung des SEM vom 28. Juli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ohne Durchführung eines Schriftenwechsels und mit summarischer Begründung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w:t>
      </w:r>
    </w:p>
    <w:p>
      <w:r>
        <w:t>D-4315/2023 Seite 5 Recht auf das Asylgesuch nicht eingetreten ist (vgl. BVGE 2011/30 E. 3 und 2011/9 E. 5; BVGE 2017 VI/5 E. 3.1 m.w.H.).</w:t>
      </w:r>
    </w:p>
    <w:p>
      <w:r>
        <w:rPr>
          <w:b/>
        </w:rPr>
        <w:t>E. 3</w:t>
      </w:r>
    </w:p>
    <w:p>
      <w:r>
        <w:t>Vom Beschwerdeführer wird im Sinne eines Eventualbegehrens die Rück- weisung der Sache an die Vorinstanz beantragt, weil jedenfalls noch wei- tere Abklärungen zu den Mängeln des kroatischen Asylsystem vorzuneh- men seien. Aktuell ist jedoch kein weiterer Abklärungsbedarf betreffend Kroatien ersichtlich, nachdem sich das Bundesverwaltungsgericht erst vor wenigen Monaten umfassend zur Quellenlage betreffend Kroatien geäus- sert hat (vgl. dazu Referenzurteil E-1488/2020 vom 22. März 2023). Auch zur Frage der gesundheitlichen Verfassung erachtet das Gericht den Sach- verhalt als genügend erstellt. Die beantragte Rückweisung der Sache zur weiteren Sachverhaltsabklärung fällt nach dem Gesagten ausser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Eine Pflicht zur Wiederaufnahme ergibt sich aber im Weiteren auch aus der Be- stimmung von Art. 20 Abs. 5 Dublin-III-VO, welche zur Anwendung gelangt, wenn ein Antragsteller in einen anderen Staat weiterreist und dort ebenfalls einen Antrag stellt, während im Erstantragstaat noch das Verfahren zur Be- stimmung der Zuständigkeit läuft (vgl. Urteil des Europäischen Gerichts- hofs [EuGH; Grosse Kammer] vom 2. April 2019, Staatssecretaris van Vei- ligheid en Justitie gegen H. und R., C-582/17 und C-583/17, Rn. 46 ff.; vgl.</w:t>
      </w:r>
    </w:p>
    <w:p>
      <w:r>
        <w:t>D-4315/2023 Seite 6 auch CHRISTIAN FILZWIESER/ANDREA SPRUNG, Dublin III-Verordnung, Das europäische Asylzuständigkeitssystem, 2014, K. 17 ff. zu Art. 20).</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w:t>
      </w:r>
    </w:p>
    <w:p>
      <w:r>
        <w:rPr>
          <w:b/>
        </w:rPr>
        <w:t>E. 5.1</w:t>
      </w:r>
    </w:p>
    <w:p>
      <w:r>
        <w:t>Aufgrund seiner Verzeichnung in Eurodac-Datenbank als Antragsteller hat das SEM zu Recht ein Ersuchen um Wiederaufnahme des Beschwer- deführers an Kroatien gesandt und dabei auf die Bestimmung von Art. 18 Abs. 1 Bst. b Dublin-III-VO verwiesen (vgl. dazu auch Art. 23 Abs. 1 und 3 Dublin-III-VO). Kroatien hat sich am 11. Juli 2023 zur Wiederaufnahme be- reit erklärt, dabei aber nicht auf die vom SEM angerufenen Bestimmung abgestellt, sondern auf die Bestimmung von Art. 20 Abs. 5 Dublin-III-VO. Damit hat Kroatien seine Zuständigkeit für den Beschwerdeführer nicht vor- behaltlos akzeptiert, sondern sich ausdrücklich eine noch weitergehende Prüfung der Frage nach seiner Zuständigkeit (gemäss Dublin-III-VO) vor- behalten (vgl. auch oben, E. 4.3 am Ende). In entscheidrelevanter Hinsicht ändert dies aber letztlich nichts, da Kroatien jedenfalls als der für die noch zu erfolgende (abschliessende) Bestimmung der Zuständigkeit zuständige Staat gilt, was nach der Dublin-III-VO als Grundlage für eine Überstellung</w:t>
      </w:r>
    </w:p>
    <w:p>
      <w:r>
        <w:t>D-4315/2023 Seite 7 genügt (vgl. etwa das Urteil des BVGer F-4276/2023 vom 11. August 2023 E. 5.3 f.).</w:t>
      </w:r>
    </w:p>
    <w:p>
      <w:r>
        <w:rPr>
          <w:b/>
        </w:rPr>
        <w:t>E. 5.2</w:t>
      </w:r>
    </w:p>
    <w:p>
      <w:r>
        <w:t>Der Beschwerdeführer wendet gegen die angefochtene Verfügung ins- besondere ein, im Falle von Kroatien sei auf das Vorliegen systemischer Schwachstellen im Sinne von Art. 3 Abs. 2 Sätze 2 und 3 Dublin-III-VO zu schliessen. Das Bundesverwaltungsgericht hat jedoch den vom Beschwer- deführer vertretenen Ansatz im Rahmen des Referenzurteils E-1488/2020 vom 22. März 2023 im vorliegend relevanten Kontext der Rückkehr im Rah- men eines Dublin-Verfahrens klar verworfen (vgl. a.a.O., E. 9.5), was Gel- tung auch für das vorliegenden Verfahren hat, da dieser Schluss Gegen- stand eines Koordinationsverfahrens der vereinigten Richterschaft der Ab- teilungen IV–VI war (vgl. a.a.O., E. 1.4). Die vom Beschwerdeführer unter Verweis auf – unter anderem – Berichte der Schweizerischen Flüchtlings- hilfe (SFH), des European Center for Constitutional and Human Rights (ECCHR), von Human Rights Watch (HRW), der Asylum Information Data- base (AIDA) und von Solidarité sans frontières (sosf) eingebrachten Ein- wände hinsichtlich der sogenannten Push-Backs und der Gefahr von Ket- tenabschiebung, Polizeigewalt, mangelndem Rechtsschutz und ungenü- gender Versorgung vermögen daran nichts zu ändern.</w:t>
      </w:r>
    </w:p>
    <w:p>
      <w:r>
        <w:rPr>
          <w:b/>
        </w:rPr>
        <w:t>E. 5.3</w:t>
      </w:r>
    </w:p>
    <w:p>
      <w:r>
        <w:t>Nach dem Gesagten ist die Zuständigkeit von Kroatien grundsätzlich gegeben.</w:t>
      </w:r>
    </w:p>
    <w:p>
      <w:r>
        <w:rPr>
          <w:b/>
        </w:rPr>
        <w:t>E. 6.1</w:t>
      </w:r>
    </w:p>
    <w:p>
      <w:r>
        <w:t>Das SEM machte sodann auch von seinem Recht auf Selbsteintritt im Sinne von Art. 17. Abs. 1 Satz 1 Dublin-III-VO respektive Art. 29a Abs. 3 AsylV 1 nicht Gebrauch. Dabei hält es im Wesentlichen dafür, es bestehe insgesamt kein Anlass zur Annahme, dass die kroatischen Behörden dem Beschwerdeführer nach seiner Überstellung den Zugang zum ordentlichen Asylverfahren verweigern respektive den Grundsatz des Non-Refoulement missachten würden, zumal in Kroatien auch der Zugang zu wirksamen Rechtsmitteln gewährleistet sei. Zwar würden besorgniserregende Berich- te aus dem kroatischen Grenzgebiet vorliegen, die Überstellung des Be- schwerdeführers erfolge jedoch ordentlich im Rahmen des Dublin-Verfah- rens. Vor diesem Hintergrund spreche daher auch nichts gegen die Über- stellung, dass der Beschwerdeführer seinen Angaben zufolge in Kroatien während 14 Tagen in Haft gewesen sei. Von einem Push-Back sei er im Übrigen nicht betroffen gewesen. Er leide im Weiteren gemäss Berichts- lage auch nicht an gesundheitlichen Beschwerden, welche als schwer zu bezeichnen wären respektive welche für das Vorliegen eines medizini-</w:t>
      </w:r>
    </w:p>
    <w:p>
      <w:r>
        <w:t>D-4315/2023 Seite 8 schen Notfalls sprechen würden. Die ersichtlichen gesundheitlichen Be- schwerden könnten daher auch in Kroatien behandelt werden, wo der Zu- gang zu notwendiger medizinischer Versorgung gewährleistet sei.</w:t>
      </w:r>
    </w:p>
    <w:p>
      <w:r>
        <w:rPr>
          <w:b/>
        </w:rPr>
        <w:t>E. 6.2</w:t>
      </w:r>
    </w:p>
    <w:p>
      <w:r>
        <w:t>Der Beschwerdeführer verweist in der Beschwerde vorab auf seine im Dublin-Gespräch gemachten Angaben und Ausführungen zu den Umstän- den seines Aufenthalts in Kroatien. Er macht sodann geltend, aufgrund der bei den Akten liegenden Spital- und Arztberichte sei klar, dass er höchst- wahrscheinlich auf eine umfassende medizinische Betreuung angewiesen sei, welche in Kroatien nicht gewährleistet sei. So spüre er des Nachts im- mer noch die Symptome seiner Tuberkulose, wozu gemäss Berichtslage auch eine Untersuchung stattgefunden habe. Er leide zudem unter Panik- attacken, Insomnie, Stress und Angstzuständen, was sich aus den weite- ren Berichten ergebe. Angesichts der bekannten Schwachstellen des Asyl- verfahrens und der Aufnahmebedingungen in Kroatien erweise sich ein Selbsteintritt auf sein Gesuch gemäss Art. 17 Abs. 1 Dublin-III-VO und Art. 29a Abs. 3 AsylV 1 als zwingend, da ihm ansonsten eine Verletzung von Art. 3 EMRK wie auch von Art. 3 der Anti-Folterkonvention (Überein- kommen vom 10. Dezember 1984 gegen Folter und andere grausame, un- menschliche oder erniedrigende Behandlung oder Strafe; SR 0.105) drohe. Sollte indes weder seinem Haupt- noch dem Eventualbegehren gefolgt werden, sei die Vorinstanz zumindest anzuweisen, von den kroatischen Behörden eine konkrete, schriftliche Zusicherung einzuholen, dass ihm ab dem Zeitpunkt seiner Ankunft in Kroatien umgehend Obdach, Nahrung, eine adäquate und regelmässige medizinische sowie psychologische Be- handlung zur Verfügung stehe, da ohne eine entsprechende Zusicherung eine Überstellung keineswegs verantwortet werden könne.</w:t>
      </w:r>
    </w:p>
    <w:p>
      <w:r>
        <w:rPr>
          <w:b/>
        </w:rPr>
        <w:t>E. 7.1</w:t>
      </w:r>
    </w:p>
    <w:p>
      <w:r>
        <w:t>Das Bundesverwaltungsgericht hat sich im schon erwähnten Referenz- urteil E-1488/2020 vom 22. März 2023 umfassend mit den Vorhalten aus- einandergesetzt, die schon seit einigen Jahren und auch von verschiede- ner Seite gegenüber dem Dublin-Vertragsstaat Kroatien erhoben werden. Diese Vorhalte – auf welche auch in der Beschwerde Bezug genommen wird – betreffen vornehmlich das Verhalten von Angehörigen der kroati- schen Grenz- und Polizeibehörden gegenüber Migrantinnen und Migran- ten, die an den Grenzen und im Grenzgebiet zu Bosnien und Herzegowina sowie zu Serbien (Schengen-Aussengrenzen) angehalten werden. Dabei wurde anerkannt, dass es vor Ort zu Abweisungen direkt an der Grenze und unzulässigen Push-Backs kommt, wie auch zu exzessiver Gewaltan- wendungen gegenüber Asylsuchenden, für welche sich oftmals der</w:t>
      </w:r>
    </w:p>
    <w:p>
      <w:r>
        <w:t>D-4315/2023 Seite 9 Zugang zum kroatischen Asylverfahren auch als unverhältnismässig schwierig erweist (vgl. a.a.O., E. 9.1–9.3 und E. 9.3.5). Im Referenzurteil wird aufgrund der Berichtslage aber ebenso ausgewiesen, dass sich die Sachlage doch massgeblich anders darstellt, wenn Asylsuchende gestützt auf die Dublin-III-VO nach Kroatien überstellt werden, zumal sich keine be- stätigten Hinweise dafür finden lassen, dass im Rahmen von Dublin-Ver- fahren Rücküberstellte trotz bekundetem Willen, sich dem Verfahren in Kroatien zu unterziehen, in unzulässiger Weise abgeschoben würden; es gibt keine Berichte beziehungsweise dokumentierte Fälle, aus welchen sich etwas anderes ergeben würde (vgl. a.a.O., E. 9.4.1 und 9.4.4). Vor diesem Hintergrund gelangt das Bundesverwaltungsgericht in ent- scheidrelevanter Hinsicht zum Schluss, dass Gesuchstellende, die – wie der Beschwerdeführer – gestützt auf die Dublin-III-VO nach Kroatien über- stellt werden, Zugang zum dortigen Asylverfahren erhalten, und zwar un- besehen davon, ob sie im Rahmen eines "Take-Charge" (Aufnahme-) oder "Take-Back" (Wiederaufnahme-) Verfahrens überstellt werden.</w:t>
      </w:r>
    </w:p>
    <w:p>
      <w:r>
        <w:rPr>
          <w:b/>
        </w:rPr>
        <w:t>E. 7.2</w:t>
      </w:r>
    </w:p>
    <w:p>
      <w:r>
        <w:t>Gemäss dem Referenzurteil ist daher von einer Überstellung nach Kroatien nur in Ausnahmefällen abzusehen, in welchen die Gesuchstellen- den durch substantiierte Vorbringen darlegen können, dass die generelle Annahme in ihrem Fall nicht zutrifft (vgl. a.a.O., E. 9.5 [letzter Absatz]). Vom Beschwerdeführer wird indes nichts ersichtlich gemacht, was ernsthaft ge- gen eine Rückkehr nach Kroatien sprechen würden. Sein Bericht über eine angeblich 14-tägige Haft, während der er nur wenig zu Essen erhalten habe und ihm sein Geld und seine Effekten weggenommen worden seien, und über die angeblich unter körperlichem Zwang erfolgte Abnahme seiner Fingerabdrücke, lässt eine Rückkehr nicht als unzulässig erscheinen, zu- mal nach dem bereits Gesagten auch nicht davon auszugehen ist, dass er nach seiner im Rahmen des Dublin-Verfahrens erfolgten Überstellung er- neut einer Behandlung wie vorgebracht ausgesetzt werden könnte.</w:t>
      </w:r>
    </w:p>
    <w:p>
      <w:r>
        <w:rPr>
          <w:b/>
        </w:rPr>
        <w:t>E. 7.3</w:t>
      </w:r>
    </w:p>
    <w:p>
      <w:r>
        <w:t>Es ist in der Folge mit dem SEM insbesondere auch darin einig zu ge- hen, dass dem Beschwerdeführer nach seiner Überstellung nach Kroatien ein geregeltes Verfahren offen steht und dass er dort auch hinreichend ver- sorgt wird, da Kroatien nach einer gestützt auf die Dublin-III-VO erfolgten Überstellung nach Auffassung des Bundesverwaltungsgerichts die Rechte anerkennt und schützt, die sich für Schutzsuchende aus den Richtlinien 2013/32/EU (Verfahrensrichtlinie) und 2013/33/EU (Aufnahmerichtlinie) er- geben. Es darf davon ausgegangen werden, dass sich das auch im Falle des Beschwerdeführers nicht anders verhält und seine Bedürfnisse in</w:t>
      </w:r>
    </w:p>
    <w:p>
      <w:r>
        <w:t>D-4315/2023 Seite 10 Kroatien abgedeckt werden. Voraussetzung dafür ist allerdings, dass er seine Bedürfnisse gegenüber den dort zuständigen Behörden ausweist und er sich diesen insbesondere auch zur Verfügung hält.</w:t>
      </w:r>
    </w:p>
    <w:p>
      <w:r>
        <w:rPr>
          <w:b/>
        </w:rPr>
        <w:t>E. 7.4</w:t>
      </w:r>
    </w:p>
    <w:p>
      <w:r>
        <w:t>Diesen Schluss vermag der Beschwerdeführer auch nicht mit der Be- rufung auf seine gesundheitlichen Beschwerden zu erschüttern. Aus den vorliegenden Berichten ergibt sich, dass er nicht an einer aktiven Tuberku- lose leidet und seine Probleme mit seinen Ohren respektive seinem Gehör (Tinnitus linksseitig) nach der Entfernung von Ohrenschmalz aktuell nicht weiter behandlungsbedürftig sind, da er auf dem rechten Ohr sehr gut hört. Eine Harnwegserkrankung wurde mit einem Antibiotika behandelt und für seine Blähungen wurde ihm ein handelsübliches Medikament abgegeben. Für seine weiteren Beschwerden – namentlich Ängste, Verspannung und Schlaflosigkeit – wurden ihm neben einem Psychopharmaka mit stim- mungsaufhellender und angstlösender Wirkung ([…]) auch noch Medika- mente auf pflanzlicher Basis zur Beruhigung und für den Schlaf abgegeben ([…]), wie auch ein Magnesiumpräparat. Vor diesem Hintergrund ist – wie vom SEM zu Recht erkannt – insgesamt nichts ersichtlich, was als ernst- hafte und damit potentiell rechtserhebliche Erkrankung zu qualifizieren wäre, zumal die derzeit laufende Therapie in dieser Form mit Sicherheit auch in Kroatien fortgesetzt werden kann.</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 ter dem Aspekt der humanitären Gründe nach Art. 29a Abs. 3 AsylV 1 nicht hinreichend gewürdigt (vgl. dazu BVGE 2015/9).</w:t>
      </w:r>
    </w:p>
    <w:p>
      <w:r>
        <w:rPr>
          <w:b/>
        </w:rPr>
        <w:t>E. 7.6</w:t>
      </w:r>
    </w:p>
    <w:p>
      <w:r>
        <w:t>Den Akten sind schliesslich keine Anhaltspunkte zu entnehmen, die es vorliegend als notwendig erscheinen liessen, von den kroatischen Behör- den vorgängig der Überstellung individuelle Zusicherungen hinsichtlich der Unterbringung und Versorgung des Beschwerdeführers einzuholen (vgl. auch E-1488/2020 E. 12).</w:t>
      </w:r>
    </w:p>
    <w:p>
      <w:r>
        <w:rPr>
          <w:b/>
        </w:rPr>
        <w:t>E. 7.7</w:t>
      </w:r>
    </w:p>
    <w:p>
      <w:r>
        <w:t>Nach dem Gesagten ergibt sich, dass das SEM zu Recht in Anwendung von Art. 31a Abs. 1 Bst. b AsylG auf das Asylgesuch nicht eingetreten ist. Die Überstellung nach Kroatien wurde in Anwendung von Art. 44 AsylG ebenfalls zu Recht angeordnet (Art. 32 Bst. a AsylV 1).</w:t>
      </w:r>
    </w:p>
    <w:p>
      <w:r>
        <w:t>D-4315/2023 Seite 11</w:t>
      </w:r>
    </w:p>
    <w:p>
      <w:r>
        <w:rPr>
          <w:b/>
        </w:rPr>
        <w:t>E. 8</w:t>
      </w:r>
    </w:p>
    <w:p>
      <w:r>
        <w:t>Nach diesen Erwägungen ist die angefochtene Verfügung zu bestätigen und die Beschwerde als offensichtlich unbegründet abzuweisen.</w:t>
      </w:r>
    </w:p>
    <w:p>
      <w:r>
        <w:rPr>
          <w:b/>
        </w:rPr>
        <w:t>E. 9</w:t>
      </w:r>
    </w:p>
    <w:p>
      <w:r>
        <w:t>Mit vorliegendem Urteil in der Hauptsache sind die Gesuche um Gewäh- rung der aufschiebenden Wirkung (nach Art. 107a Abs. 2 AsylG) und um Befreiung von der Kostenvorschusspflicht (gemäss Art. 63 Abs. 4 VwVG) gegenstandslos geworden.</w:t>
      </w:r>
    </w:p>
    <w:p>
      <w:r>
        <w:rPr>
          <w:b/>
        </w:rPr>
        <w:t>E. 10.1</w:t>
      </w:r>
    </w:p>
    <w:p>
      <w:r>
        <w:t>Das Gesuch um Gewährung der unentgeltlichen Rechtspflege (im Sinne von Art. 65 Abs. 1 VwVG) ist abzuweisen, da sich die Beschwerde nach dem Gesagten als von Anfang an aussichtslos erwiesen hat.</w:t>
      </w:r>
    </w:p>
    <w:p>
      <w:r>
        <w:rPr>
          <w:b/>
        </w:rPr>
        <w:t>E. 10.2</w:t>
      </w:r>
    </w:p>
    <w:p>
      <w:r>
        <w:t>Dem Beschwerdeführer sind demnach die Kosten des Verfahrens, welche auf Fr. 750.– zu bestimmen sind, aufzuerlegen (Art. 63 Abs. 1 VwVG; Art. 1–3 des Reglements vom 21. Februar 2008 über die Kosten und Entschädigungen vor dem Bundesverwaltungsgericht [VGKE, SR 173.320.2]).</w:t>
      </w:r>
    </w:p>
    <w:p>
      <w:r>
        <w:t>(Dispositiv nächste Seite)</w:t>
      </w:r>
    </w:p>
    <w:p>
      <w:r>
        <w:t>D-4315/2023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