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D-4312/2015 vom 23. Dezember 2016</w:t>
      </w:r>
    </w:p>
    <w:p>
      <w:r>
        <w:t>Bundesverwaltungsgericht, 2016-12-23, DE</w:t>
      </w:r>
    </w:p>
    <w:p>
      <w:r>
        <w:rPr>
          <w:b/>
        </w:rPr>
        <w:t xml:space="preserve">Quelle: </w:t>
      </w:r>
      <w:r>
        <w:t>https://mcp.opencaselaw.ch/entscheid/bvger_D-4312_2015</w:t>
      </w:r>
    </w:p>
    <w:p>
      <w:r>
        <w:t>FR: TAF D-4312/2015 du 23 décembre 2016</w:t>
      </w:r>
    </w:p>
    <w:p>
      <w:r>
        <w:t>IT: TAF D-4312/2015 del 23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Nach Prüfung der Akten durch das Bundesverwaltungsgericht ist in Übereinstimmung mit der Vorinstanz festzustellen, dass die Asylvorbringen der Beschwerdeführenden im Zusammenhang mit der geltend gemachten Verfolgung in Syrien vor der Ausreise teils den Anforderungen an die Flüchtlingseigenschaft gemäss Art. 3 AsylG und teils denjenigen an die Glaubhaftigkeit gemäss Art. 7 AsylG nicht standzuhalten vermögen, weshalb diesbezüglich vorab auf die zutreffenden Erwägungen der Vorinstanz in der angefochtenen Verfügung zu verweisen ist (vgl. Bst. C vorstehend). Der Rechtsmitteleingabe sowie der Replik sind keine stichhaltigen Entgegnungen zu entnehmen, zumal die Beschwerdeführenden im Wesentlichen ihre bisherigen Vorbringen wiederholen, an deren Asylrelevanz sowie deren Glaubhaftigkeit festhalten und die vom SEM in der angefochtenen Verfügung dargelegten Unstimmigkeiten beziehungsweise die aufgezeigten Widersprüche bestreiten. Zudem dementiert der Beschwerdeführer, ausgesagt zu haben, dass er politisch nicht aktiv gewesen sei. Um Wiederholungen zu vermeiden, wird diesbezüglich auf die zutreffenden Erwägungen in der angefochtenen Verfügung sowie in der Vernehmlassung der Vorinstanz verwiesen. Im Zusammenhang mit der gegen den bei der Kurzbefragung des Beschwerdeführers anwesenden Dolmetscher erhobenen Kritik ist grundsätzlich anzumerken, dass sämtliche am Asylverfahren teilnehmenden Personen hinsichtlich ihrer Vertrauenswürdigkeit und charakterlichen Eignung sorgfältig geprüft werden und somit das volle Vertrauen der Behörden geniessen. Dem Protokoll sind denn auch keine Hinweis zu entnehmen, welche die vom Beschwerdeführer erhobenen Beanstandungen bestätigen würden. Er wurde vielmehr ausdrücklich gefragt, ob er alle Gründe für seine Ausreise habe nennen können (vgl. A4/12 F. 7.01), es wurden ihm weitere Fragen zu den geltend gemachten Gesuchsgründen gestellt (vgl. a.a.O F. 7.02) und er wurde ferner nach weiteren Gründen gefragt, die gegen eine allfällige Rückkehr nach Syrien sprechen würden (vgl. a.a.O. F. 7.03). Der Beschwerdeführer macht ferner geltend, dass sowohl die Anhörung als auch die Kurzbefragung auf Arabisch durchgeführt worden sei, und nicht in seiner Muttersprache Kurdisch. Die verschiedenen Bezeichnungen der Sicherheitsdienste würden aber nur in der kurdischen Sprache existieren, wo hingegen im Arabischen alle Sicherheitsdienste als "Sicherheitsdienst" bezeichnet werden würden. Er sei insgesamt siebenmal verhaftet worden, wobei ihn einmal (das erste Mal) die normale Zivilpolizei verhaftet habe, welche nicht zu den Sicherheitsdiensten zähle. Diese Verhaftung habe eine Stunde gedauert. Das zweite Mal sei er vom Kriminalsicherheitsdienst und die darauf folgenden Male vom militärischen Sicherheitsdienst festgenommen worden. Diese Festnahmen hätten sich jeweils vom Nachmittag bis in die Nacht (22.00 Uhr) hingezogen. Mit dieser neuen Version seiner angeblich erlittenen Festnahmen kann der Beschwerdeführer jedoch die in der angefochtenen Verfügung aufgezeigten Unstimmigkeiten nicht ausräumen. Auch ist festzuhalten, dass der Beschwerdeführer anlässlich der Kurzbefragung erklärte, er besitze genügend arabische Sprachkenntnisse für die Anhörung (vgl. a.a.O. F. 1.17.02). Er erklärte zu Beginn der Kurzbefragung, dass er den Dolmetscher gut verstehe (vgl. a.a.O. S. 2) und bestätigte zum Schluss der Befragung, dass er diesen "gut" verstanden habe (vgl. a.a.O. F. 9.02). Auch unterzeichnete er das Protokoll mit dem Hinweis, dass es seinen Aussagen und der Wahrheit entspreche und ihm in eine ihm verständliche Sprache (Arabisch) übersetzt worden sei (vgl. a.a.O. S. 10). Zu Beginn der Anhörung erklärte der Beschwerdeführer sogar in deutscher Sprache, er verstehe den anwesenden Dolmetscher "gut" (vgl. A16/13 S. 1). Er bestätigte mit seiner Unterschrift, dass ihm das Protokoll Satz für Satz vorgelesen und ihm in eine ihm verständliche Sprache (Arabisch) übersetzt worden sei. Es sei vollständig und entspreche seinen freien Äusserungen (vgl. a.a.O. S. 12). Folglich können die gegen den Dolmetscher erhobenen Vorwürfe nicht gehört werden. Zusammenfassend ist festzustellen, dass die Beschwerdeführenden nicht glaubhaft machen konnten, vor ihrer Ausreise als Regimegegner registriert und verfolgt worden zu sein.</w:t>
      </w:r>
    </w:p>
    <w:p>
      <w:r>
        <w:rPr>
          <w:b/>
        </w:rPr>
        <w:t>E. 5</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des Abkommens vom 28. Juli 1951 über die Rechtsstellung der Flüchtlinge (FK, SR 0.142.30) wieder relativiert (vgl. Art. 3 Abs. 4 in fine AsylG).</w:t>
      </w:r>
    </w:p>
    <w:p>
      <w:r>
        <w:rPr>
          <w:b/>
        </w:rPr>
        <w:t>E. 5.1</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5.2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5.3</w:t>
      </w:r>
    </w:p>
    <w:p>
      <w:r>
        <w:t>Die Beschwerdeführenden machen erstmals in ihrer Eingabe vom 10. Juli 2015 ein exilpolitisches Engagement des Beschwerdeführers geltend, und reichten in diesem Zusammenhang Fotografien von Kundgebungen in der Schweiz ins Recht (vgl. vorstehend Bst. D. und Bst. I.b).</w:t>
      </w:r>
    </w:p>
    <w:p>
      <w:r>
        <w:rPr>
          <w:b/>
        </w:rPr>
        <w:t>E. 6.1</w:t>
      </w:r>
    </w:p>
    <w:p>
      <w:r>
        <w:t>Nach dem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BVGer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6.2</w:t>
      </w:r>
    </w:p>
    <w:p>
      <w:r>
        <w:t>Folglich ist vorliegend zu prüfen, ob das von den Beschwerdeführenden erstmals auf Beschwerdeebene geltend gemachte exilpolitische Engagement des Beschwerdeführers den genannten Anforderungen genügt. Da der Beschwerdeführer keine Vorverfolgung glaubhaft machen konnte (vgl. vorstehend E. 4.), kann ausgeschlossen werden, dass er und seine Familie vor dem Verlassen Syriens als regimefeindliche Personen ins Blickfeld der Behörden geraten sind. Gestützt auf die vorliegende Aktenlage, drängt sich somit der Schluss auf, dass der Beschwerdeführer nicht der Kategorie von Personen zuzurechnen ist, die wegen ihrer Tätigkeit oder Funktionen im Exil als ernsthafte und potentiell gefährliche Regimegegner die Aufmerksamkeit der syrischen Geheimdienste auf sich gezogen haben könnten. Auch ist gestützt auf die eingereichten Fotografien und die diesbezüglichen marginalen Angaben der Beschwerdeführenden nicht davon auszugehen, dass er innerhalb einer der exilpolitisch tätigen Organisationen und Parteien eine exponierte Kaderstelle innehat. Vielmehr übersteigt sein exilpolitisches Engagement die Schwelle der massentypischen Erscheinungsformen exilpolitischer Proteste syrischer Staatsangehöriger nicht. Auch handelt es sich bei ihm nicht um eine für die exilpolitische Szene bedeutsame Persönlichkeit, die durch ihre exilpolitische Tätigkeit als ausserordentlich engagierter und exponierter Regimegegner aufgefallen sein könnte. Deshalb ist es unwahrscheinlich, dass seitens des syrischen Regimes ein besonderes Interesse an seiner Person bestehen könnte (vgl. das Referenzurteil D-3839/2013 vom 28. Oktober 2015 E. 6.4.2).</w:t>
      </w:r>
    </w:p>
    <w:p>
      <w:r>
        <w:rPr>
          <w:b/>
        </w:rPr>
        <w:t>E. 6.3</w:t>
      </w:r>
    </w:p>
    <w:p>
      <w:r>
        <w:t>Somit ergibt sich, dass keine asylrechtlich relevanten Verfolgungsgründe ersichtlich sind, weshalb die Vorinstanz zu Recht die Flüchtlingseigenschaft der Beschwerdeführenden verneint und die Asylgesuche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Vorinstanz hat in der angefochtenen Verfügung den Vollzug der Wegweisung wegen Unzumutbarkeit zugunsten einer vorläufigen Aufnahme aufgeschoben. Da die Wegweisungsvollzugshindernisse alternativer Natur sind (vgl. BVGE 2009/51 E. 5.4 S. 748), erübrigen sich praxisgemäss Ausführungen zur Zulässigkeit und Möglichkeit des Wegweisungsvollzuges.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den Beschwerdeführenden aufzuerlegen (Art. 63 Abs. 1 VwVG; Art. 1-3 des Reglements vom 21. Februar 2008 über die Kosten und Entschädigungen vor dem Bundesverwaltungsgericht [VGKE, SR 173.320.2]). Da jedoch mit Verfügung vom 12. September 2016 das Gesuch um Gewährung der unentgeltlichen Rechtspflege gutgeheissen wurde, sind keine Verfahrenskosten zu erheben.</w:t>
      </w:r>
    </w:p>
    <w:p>
      <w:r>
        <w:rPr>
          <w:b/>
        </w:rPr>
        <w:t>E. 10.2</w:t>
      </w:r>
    </w:p>
    <w:p>
      <w:r>
        <w:t>Nachdem der rubrizierte Rechtsvertreter als amtlicher Rechtsbeistand gemäss Eingabe vom 26. September 2016 von den Beschwerdeführenden (Art. 110a Abs. 1 Bst. a VwVG) beauftragt wurde, ist diesem ein angemessenes Honorar auszurichten. Zwar hat der Rechtsvertreter keine Kostennote eingereicht, der Aufwand lässt sich allerdings aufgrund der Akten zuverlässig abschätzen (Art. 14 Abs. 2 VGKE). In Anwendung der massgeb-lichen Bemessungsfaktoren (vgl. Art. 8-11 VGKE) ist dem amtlichen Rechtsbeistand zulasten des Gerichts ein Honorar von Fr. 500.-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