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D-4308/2014 vom 2. Juli 2015</w:t>
      </w:r>
    </w:p>
    <w:p>
      <w:r>
        <w:t>Bundesverwaltungsgericht, 2015-07-02, DE</w:t>
      </w:r>
    </w:p>
    <w:p>
      <w:r>
        <w:rPr>
          <w:b/>
        </w:rPr>
        <w:t xml:space="preserve">Quelle: </w:t>
      </w:r>
      <w:r>
        <w:t>https://mcp.opencaselaw.ch/entscheid/bvger_D-4308_2014</w:t>
      </w:r>
    </w:p>
    <w:p>
      <w:r>
        <w:t>FR: TAF D-4308/2014 du 2 juillet 2015</w:t>
      </w:r>
    </w:p>
    <w:p>
      <w:r>
        <w:t>IT: TAF D-4308/2014 del 2 luglio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[SR, 101] auch das Recht) an der Feststellung des Sachverhaltes mitzuwirken (vgl. zum Ganzen BVGE 2012/21 E. 5.1, 2009/50 E. 10.2 je mit weiteren Hinweisen).</w:t>
      </w:r>
    </w:p>
    <w:p>
      <w:r>
        <w:rPr>
          <w:b/>
        </w:rPr>
        <w:t>E. 3.3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der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zum Ganzen BVGE 2011/37 E. 5.4.1; 2013/23 E. 6.4.2 je mit weiteren Hinweisen).</w:t>
      </w:r>
    </w:p>
    <w:p>
      <w:r>
        <w:rPr>
          <w:b/>
        </w:rPr>
        <w:t>E. 4.1</w:t>
      </w:r>
    </w:p>
    <w:p>
      <w:r>
        <w:t>Zur Begründung ihrer Verfügung hielt die Vorinstanz im Wesentlichen fest, es bestünden bereits anlässlich der Befragung zur Person Zweifel bezüglich der geltend gemachten Herkunft, da sie die meisten Fragen zur Herkunft und zu länderspezifischen Besonderheiten nicht habe beantworten können. Insbesondere erstaune ihre Unkenntnis bezüglich jeglicher historischer Hintergründe der Präfektur D._______, wo die berühmten kulturhistorischen Stätten des vermutlich ältesten Königreiches Tibets lägen und die jedes Jahr von zahlreichen Pilgern besucht würden. Auch habe sie keine Kenntnisse der chinesischen Sprache. Sie sei nicht in der Lage gewesen, geografisch korrekte Angabe zu ihrem Heimatdorf zu machen. Sie habe unzutreffend angegeben, es handle sich bei D._______ um eine Stadt. Sie sei darauf aufmerksam gemacht worden, dass es sich dabei um eine Präfektur handle und man habe sie aufgefordert den Hauptort zu nennen. Sie habe den Hauptort nicht benennen können. Im Weiteren habe sie angegeben, man müsse die Dörfer K._______, L._______, M._______ und N._______ passieren, um nach D._______ zu gelangen. Es handle sich hierbei zwar um Dörfer in der Präfektur D._______, die jedoch weit auseinanderliegen würden und keineswegs auf dem Weg in eine Stadt. Sie habe geltend gemacht, die nächste grössere Ortschaft von ihrem Dorf B._______ aus gesehen, sei O._______. Auch dies entspreche nicht den Tatsachen. Die grösste Stadt der Präfektur D._______ sei nur rund 63 km von B._______ entfernt. Demgegenüber sei die Distanz zwischen B._______ und O._______ knapp drei Mal so gross. Auch ihre Angabe, die Ausstellung ihrer Identitätskarte in O._______ beantragt zu haben, erscheine aufgrund dieser viel grösseren Distanz zu ihrem Dorf und der geringeren Grösse dieser Stadt logisch wenig nachvollziehbar. Insgesamt würden ihre länderspezifischen Antworten nicht überzeugen und es dränge sich der Verdacht auf, dass sie rein geographische Aussagen wie die Situierung ihres angeblichen Heimatdorfes oder die Nennung von Nachbardörfern gelernt habe, um so den Anschein zu erwecken, aus dieser Gegend zu stammen. Bezeichnenderweise seien ihre Schilderungen zu ihrem Heimatdorf und zur angeblichen Stadt D._______ unsubstantiiert. Auf die Frage, wie ihr Dorf und die Landschaft rundherum aussehen würden, habe sie nur sehr allgemein geantwortet. Überdies habe sie keine Ausweise zu den Akten gereicht, welche die behauptete Herkunft oder den zurückgelegten Reiseweg belegen könnten. Ihre Aussagen zu ihren Ausweispapieren seien unglaubhaft und widersprüchlich. Es sei davon auszugehen, dass sie der Asylbehörde ihre Identitätspapiere bewusst vorenthalte, um ihre Identität und ihren Reiseweg zu verschleiern und so den Vollzug einer möglichen Wegweisung in ihren tatsächlichen Herkunftsstaat zu erschweren oder gar zu verunmöglichen. Im Weiteren sei die Schilderung ihrer Asylgründe rudimentär, unsubstantiiert und widersprüchlich ausgefallen. So habe sie anlässlich der Befragung im EVZ angegeben in der Nacht vom 9. auf den 10. März 2012 bei einer Tante ihrer Freundin übernachtet zu haben. Demgegenüber habe sie an der Anhörung angegeben, die Nacht bei der Grossmutter ihrer Freundin verbracht zu haben. Ferner habe sie im EVZ geltend gemacht, sie habe niemanden gesehen, während sie und ihre Freundin Plakate aufgehängt hätten. Im Rahmen der Anhörung habe sie angegeben, sie habe beim Plakatieren noch andere Leute gesehen, welche ebenfalls Plakate aufgehängt hätten. Obwohl sie unbestrittenermassen tibetischer Ethnie sei, würden ihre mangelhaften Länder- beziehungsweise Regionalkenntnisse, ihre fehlenden Kenntnisse der chinesischen Sprache, die fehlenden Identitätspapiere sowie die unglaubhaften Asylgründe nahelegen, dass sie nicht in der von ihr angegebenen Region sozialisiert worden sei. Vielmehr sei mit überwiegender Wahrscheinlichkeit davon auszugehen, dass sie vor ihrer Ankunft in der Schweiz nicht in der Volksrepublik China, sondern in der exiltibetischen Diaspora gelebt habe.</w:t>
      </w:r>
    </w:p>
    <w:p>
      <w:r>
        <w:rPr>
          <w:b/>
        </w:rPr>
        <w:t>E. 4.2</w:t>
      </w:r>
    </w:p>
    <w:p>
      <w:r>
        <w:t>In der Beschwerde und deren Ergänzung wird im Wesentlichen geltend gemacht, sie habe lediglich drei Jahre lang die Dorfschule besucht, in welcher einzig tibetisch gelehrt worden sei. In ihrem Heimatdorf B._______ (chinesisch: P._______) werde nur Tibetisch gesprochen, daher sei es normal, dass sie kein Chinesisch gelernt habe. Dass sie die Höhenlage oder die Geschichte ihrer Region nicht gewusst habe, könne ihr mit Hinweis auf ihre mangelnde Schulbildung nicht zum Vorwurf gemacht werden. Zu lebensnäheren Themen habe sie detaillierte Auskunft geben können. Sie habe genau gewusst, wieviel ein Gyama Tsampa (eine Messeinheit Getreidemehl) koste, wie man sich in der Region ernähre oder wie die Klöster in der Nähe heissen würden. Sie habe die Frage nach der Anzahl Han-Chinesen in der Region mit der Aussage beantwortet, in ihrem Dorf würden keine Chinesen wohnen und es werde gesagt, dass mehr Chinesen als Tibeter in der Region leben würden. Der zuständige BFM-Beamte habe auf die Angabe erwidert, dies sei alles falsch. Er habe die Aussage jedoch nicht belegt. Es sei nicht nachvollziehbar, weshalb der BFM-Beamte ihre Wahrnehmung als falsch deklariert habe. Die Befragung sei als tendenziös zu bezeichnen. Zudem gebe er keine Quelle an, weshalb die Aussage falsch sein sollte. Es werde eine Offenlegung der Quelle verlangt. Die Vermutung liege nahe, dass der Befrager sie habe einschüchtern wollen. Eine einfache Internetrecherche belege, dass D._______ (auch: Q._______) sowohl Regierungsbezirk, als auch dessen Hauptort sei. Zudem gebe sie korrekt zu Protokoll, dass der Fluss in D._______ "R._______" heisse. Sie habe die Frage nach den Ortschaften so verstanden, dass sie Ortschaften nennen soll, wenn sie durch den Bezirk D._______ gehe. Entsprechend habe sie vier ihr bekannte Dörfer in D._______ aufgezählt. Dass die Frage mit Bezug auf die Stadt D._______ gestellt worden sei, habe sie nicht wissen können, da die vorgehenden Fragen ohne entsprechenden Zusammenhang gestellt worden seien. Die Verwaltung für ihr Heimatdorf B._______ befinde sich indessen in O._______, auch wenn D._______ eigentlich grösser wäre und näher bei B._______ liegen würde. Somit sei es logisch, dass sie ihre Identitätskarte in O._______ habe ausstellen müssen. Sie habe bis zu ihrer Flucht praktisch keine Erfahrungen mit Städten gehabt. Entsprechend schwierig falle es ihr, die Gegebenheiten in D._______ zu beschreiben. Ihre Aussagen, es habe einen Fluss namens R._______, Verwaltungsgebäude, Geschäfte und Restaurants gehabt, seien korrekt und würden einem als erstes ins Auge fallen. Zudem habe sie sich authentisch erstaunt gezeigt über die zweistöckigen Häuser, die vielen Fenster und Strassen. Die Vorinstanz werde um Präzisierung ersucht betreffend Widerspruch zu den Ausweispapieren. Sie habe glaubhaft erklärt, dass sie ihre Identitätskarte in ihrem Haus in Tibet gelassen habe, wo sie von den chinesischen Behörden konfisziert worden sei, nachdem sie von ihrer Freundin verraten worden sei. Sie habe sich bereits auf der Flucht befunden. Da niemand in ihrem Dorf über ein Telefon verfüge, sei es ihr nicht gelungen, Dokumente zur Bestätigung ihrer Identität anzufordern. Sie habe bei der leiblichen Tante ihrer Freundin übernachtet. Es handle sich um ein sprachliches Missverständnis, da man eine ältere Frau auf Tibetisch respektvoll "Oma" nenne. Dies sei dasselbe Wort wie man auch für Grossmutter brauche. Sie seien bei der Plakataktion vorsichtig zur Tat geschritten, dass niemand sie sehe. Dies beschreibe sie in der kurzen Antwort anlässlich der Befragung im EVZ. Während des Anklebens des Plakats hätten sie in der Nähe Personen zu bemerken geglaubt. Da es dunkel gewesen sei, hätten sie nicht sicher sein können und seien wieder zurückgerannt. Sie berichte ferner lebensnah und ausführlich über die Demonstration und deren gewaltsamen Niederschlagung.</w:t>
      </w:r>
    </w:p>
    <w:p>
      <w:r>
        <w:rPr>
          <w:b/>
        </w:rPr>
        <w:t>E. 4.3</w:t>
      </w:r>
    </w:p>
    <w:p>
      <w:r>
        <w:t>In ihrer Vernehmlassung hielt die Vorinstanz fest, dass der Hauptort der Präfektur D._______ nicht denselben Namen trage wie die Präfektur selbst, sondern T._______ (Chinesisch) beziehungsweise U._______ (Tibetisch) genannt werde. Die Stadt sei auch bekannt als "V._______". Des Weiteren sei festzuhalten, dass das eingereichte Schreiben des Tibet Büros in W._______ lediglich bestätige, dass die Beschwerdeführerin tibetischer Abstammung sei. Dies werde im Entscheid des BFM auf keine Weise in Frage gestellt.</w:t>
      </w:r>
    </w:p>
    <w:p>
      <w:r>
        <w:rPr>
          <w:b/>
        </w:rPr>
        <w:t>E. 4.4</w:t>
      </w:r>
    </w:p>
    <w:p>
      <w:r>
        <w:t>In ihrer Replik macht die Beschwerdeführerin Ausführungen zur Verwendung des Namens D._______, T._______ und Q._______ und wie diese unterschiedlich als Namen für die Stadt beziehungsweise die Präfektur verwendet würden. Es sei deshalb glaubwürdig, dass die einheimische Bevölkerung die Hauptstadt ebenfalls D._______ nenne, zumal dann, wenn sie keinen engeren Bezug zur Hauptstadt habe, wie dies vorliegend zutreffe. In Bezug auf ihre Aussagen, sei hervorzuheben, dass sie in der Befragung im EVZ D._______ als Präfektur bezeichne, in der ihr Dorf liege. Hervorzuheben sei auch, dass D._______ die geringste Besiedlungsdichte in China aufweise und sich die Bevölkerung zu 85% aus Bauern und Hirten zusammensetze, was meistens ein Faktor geringer Schulbildung sei.</w:t>
      </w:r>
    </w:p>
    <w:p>
      <w:r>
        <w:rPr>
          <w:b/>
        </w:rPr>
        <w:t>E. 5.1</w:t>
      </w:r>
    </w:p>
    <w:p>
      <w:r>
        <w:t>Im zur Publikation vorgesehenen Urteil E-3361/2014 vom 6. Mai 2015 hat das BVGer festgehalten, die vom SEM neu eingeführte, als Praxisänderung deklarierte Methode der Herkunftsabklärung für Asylsuchende tibetischer Ethnie - anstelle von Lingua-Analysen werden neu im Rahmen der eingehenden Anhörung vertiefte Befragungen zu den Länderkenntnissen und zum Alltagswissen durchgeführt - könne sich grundsätzlich zur Plausibilitätsprüfung von Herkunftsangaben eignen, sofern gewisse Mindeststandards die Gewährung des rechtlichen Gehörs respektive die Untersuchungspflicht betreffend eingehalten sind.</w:t>
      </w:r>
    </w:p>
    <w:p>
      <w:r>
        <w:rPr>
          <w:b/>
        </w:rPr>
        <w:t>E. 5.2</w:t>
      </w:r>
    </w:p>
    <w:p>
      <w:r>
        <w:t>Demnach muss aus den Akten nicht nur in für das Gericht nachvollziehbarer Weise hervorgehen, welche Fragen die Vorinstanz der Beschwerdeführerin gestellt hat und wie diese darauf geantwortet hat, sondern auch welche Fragen wie hätten beantwortet werden müssen und weshalb in Tibet sozialisierte asylsuchende Personen in einer vergleichbaren Situation, wie die Beschwerdeführerin, die zutreffenden Antworten hätten kennen sollen. Da bei der neu eingeführten Methode kein amtsexterner Sachverständiger mitwirkt, muss aus den Akten auch hervorgehen, auf welche Informationen zum Herkunftsland (COI) sich die von der Vor­instanz als zutreffend angegebenen Antworten stützten, wobei sich die Vorinstanz an den grundlegenden Standards, die bei der Beschaffung, Aufbereitung und Präsentation von COI gelten, zu orientieren hat. In welcher Form die Vorinstanz dem Gericht die genannten Informationen offenlegen will, steht ihr frei. Eine rechtsgenügliche Gewährung der Akteneinsicht verlangt zudem, dass der betroffenen Person der wesentliche Inhalt der Herkunftsabklärung zur Kenntnis gebracht wird und ihr die Möglichkeit eingeräumt wird, sich insbesondere zu den als unzureichend eingestuften Antworten äussern zu können (vgl. E-3361/2014 E. 5.2.2).</w:t>
      </w:r>
    </w:p>
    <w:p>
      <w:r>
        <w:rPr>
          <w:b/>
        </w:rPr>
        <w:t>E. 5.3</w:t>
      </w:r>
    </w:p>
    <w:p>
      <w:r>
        <w:t>Sind diese Mindeststandards betreffend Gewährung des rechtlichen Gehörs respektive der Untersuchungspflicht der Vorinstanz im Rahmen ihrer neu eingeführten Methode der Herkunftsabklärung für Asylsuchende tibetischer Ethnie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E-3361/2014 E. 5.2.3).</w:t>
      </w:r>
    </w:p>
    <w:p>
      <w:r>
        <w:rPr>
          <w:b/>
        </w:rPr>
        <w:t>E. 6.1</w:t>
      </w:r>
    </w:p>
    <w:p>
      <w:r>
        <w:t>Vor dem Hintergrund der eben erläuterten Anforderungen ist vorweg festzuhalten, dass die Antworten der Beschwerdeführerin auf die Fragen zum Länder- und Alltagswissen nicht derart unplausibel, substanzarm oder widersprüchlich ausgefallen sind, dass sie eine Herkunft derselben aus Tibet offensichtlich ausschliessen und sich weitere fachliche Abklärungen somit erübrigen. So hat die Beschwerdeführerin einige Klöster in ihrer Region aufzählen und Angaben zu ihrem Heimatdorf, zu den Leuten, die dort wohnen und was dort angepflanzt wird, machen können (vgl. Akte A15/16 F11-F20, F24-F28). Auch lässt sich alleine aufgrund der Angaben der Beschwerdeführerin zu den Asylgründen, zum Reiseweg und zu den fehlenden Identitätspapieren nicht ableiten, dass sie nicht im Dorf B._______ aufgewachsen ist. Würden nämlich bereits diese Angaben alleine eine Herkunft aus Tibet China ausschliessen, erübrigten sich weitere fachliche Abklärungen bezüglich des Länder- und Alltagswissens der Beschwerdeführerin ebenfalls, da dann gar nicht auf ihre Angaben im Rahmen der Herkunftsabklärung abgestellt werden müsste.</w:t>
      </w:r>
    </w:p>
    <w:p>
      <w:r>
        <w:rPr>
          <w:b/>
        </w:rPr>
        <w:t>E. 6.2</w:t>
      </w:r>
    </w:p>
    <w:p>
      <w:r>
        <w:t>Für den vorliegenden Fall ist festzuhalten, dass dem Protokoll zur Befragung im EVZ und zur Anhörung zwar die gestellten Fragen und die Antworten der Beschwerdeführerin entnommen werden können. Allerdings enthalten die Akten keinerlei Ausführungen zu den vom BFM als korrekt erachteten Antworten, geschweige denn zu den Quellen, an denen sich der Befrager zwecks Beurteilung der Erklärungen der Beschwerdeführerin orientiert hat. Das Befragungsprotokoll erlaubt bezüglich eines Grossteils der Fragen nicht einmal eindeutige Rückschlüsse darauf, ob die Beschwerdeführerin diese in zulänglicher Weise beantwortet hat beziehungsweise, wenn sie die Antwort nicht wusste, ob und weshalb sie diese hätte kennen sollen (vgl. Akte A6/11 S. 6, A15/16 F13-F30, F70-F98). Aus den Akten geht somit nicht hervor, welche Antworten der Beschwerdeführerin richtig beziehungsweise falsch sind und wie im Falle unzutreffender Angaben die korrekte Antwort auf die gestellte Frage lauten würde. Folglich ist für das Gericht weder nachvollziehbar, ob die vorinstanzliche Einschätzung bezüglich des Länder- und Alltagswissens der Beschwerdeführerin vertretbar ist, noch ob die Vorinstanz ihren aus dem Untersuchungsgrundsatz und dem rechtlichen Gehör fliessenden Pflichten zur ernsthaften, sorgfältigen und vollständigen Abklärung der Vorbringen der Beschwerdeführerin sowie aller weiteren rechtsrelevanten Sachumstände vorliegend tatsächlich nachgekommen ist.</w:t>
      </w:r>
    </w:p>
    <w:p>
      <w:r>
        <w:rPr>
          <w:b/>
        </w:rPr>
        <w:t>E. 6.3</w:t>
      </w:r>
    </w:p>
    <w:p>
      <w:r>
        <w:t>Wie in Erwägung 5.1 ausgeführt, muss die Vorinstanz der Beschwerdeführerin vor dem Hintergrund von Art. 30 VwVG überdies den wesentlichen Inhalt der Herkunftsuntersuchung - insbesondere die als unzureichend eingestuften Antworten - so detailliert zur Kenntnis bringen, dass sie hierzu konkrete Einwände anbringen kann, und ihr die Möglichkeit einräumen, sich tatsächlich dazu zu äussern. Ob die Vorinstanz einer asylsuchenden Person künftig in einer aktenkundigen schriftlichen Notiz oder anlässlich der Gewährung des rechtlichen Gehörs im Rahmen einer zu protokollierenden mündlichen Anhörung mit den als tatsachenwidrig, falsch oder unzureichend erachteten Antworten, unter Angabe der dazugehörigen Fragen, konfrontiert, ist ihr unbenommen. Im vorliegenden Fall wurde der Beschwerdeführerin nicht mit einem separaten Schreiben das Ergebnis der im Rahmen der Anhörung durchgeführten Herkunftsabklärung mitgeteilt. Sondern sie wurde unverzüglich mit allgemeinen Aussagen auf ihr angebliches Unwissen anlässlich der Befragung im EVZ (vgl. Akte A6/11 S. 6) und anlässlich der Anhörung bezüglich der administrativen Gliederung (vgl. Akte A16/15 F78), den Angaben zur Region (vgl. Akte A16/15 F85, F87) sowie der Wirtschaftsweise (vgl. Akte A16/15 F95) hingewiesen. Allerdings wurde nicht konkret dargelegt, welche ihrer Antworten inwiefern falsch waren. Angesichts dieser pauschalen Rückfragen und insbesondere, weil ihr grösstenteils gar nicht mitgeteilt wurde, dass ihre Antworten angeblich falsch seien, wurde es der Beschwerdeführerin objektiv verunmöglicht, konkrete Einwände gegen die vorgeworfenen Falschangaben anzubringen.</w:t>
      </w:r>
    </w:p>
    <w:p>
      <w:r>
        <w:rPr>
          <w:b/>
        </w:rPr>
        <w:t>E. 6.4</w:t>
      </w:r>
    </w:p>
    <w:p>
      <w:r>
        <w:t>Nach dem Gesagten steht fest, dass das SEM im vorliegenden Fall sowohl den Anspruch der Beschwerdeführerin auf Einräumung des rechtlichen Gehörs als auch den Untersuchungsgrundsatz verletzt hat.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die Beschwerdeführerin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mit weiteren Hinweisen).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und es nicht Sinn der zitierten Rechtsprechung sein kann, die Vorinstanz durch systematische Heilung erstinstanzlicher Verfahrensfehler von sorgfältiger Verfahrensführung zu entbinden sowie auf diese Weise zur Verschlechterung der Position von Betroffenen beizutragen. Eine Kassation rechtfertigt sich diesfalls, um die Vorinstanz auf ihre verfahrensrechtlichen Pflichten aufmerksam zu machen. Auch eine Häufung von für sich allein weniger gewichtigen Verfahrensfehlern kann dazu führen, dass das Verfahren insgesamt als derart mangelhaft bezeichnet werden muss, dass eine Heilung im Rechtsmittelverfahren ausgeschlossen ist (vgl. E-3361/2014 E. 7.1 mit weiteren Hinweisen).</w:t>
      </w:r>
    </w:p>
    <w:p>
      <w:r>
        <w:rPr>
          <w:b/>
        </w:rPr>
        <w:t>E. 7.2</w:t>
      </w:r>
    </w:p>
    <w:p>
      <w:r>
        <w:t>Vor dem Hintergrund dieser Ausführungen erscheint eine Kassation bereits angesichts der durch die Verletzung des rechtlichen Gehörs und des Untersuchungsgrundsatzes vorliegend gehäuft aufgetretenen Verfahrensfehler gerechtfertigt. Hinzu kommt, dass die hier interessierende Frage keinen Einzelfall beschlägt, sondern für eine Vielzahl anderer Fälle mit vergleichbaren Konstellationen von Bedeutung ist. Die angefochtene Verfügung ist deshalb aufzuheben und im Sinne der Erwägungen an die Vor­instanz zurückzuweisen.</w:t>
      </w:r>
    </w:p>
    <w:p>
      <w:r>
        <w:rPr>
          <w:b/>
        </w:rPr>
        <w:t>E. 8.1</w:t>
      </w:r>
    </w:p>
    <w:p>
      <w:r>
        <w:t>Bei diesem Ausgang des Verfahrens sind keine Kosten zu erheben (Art. 63 Abs. 1 VwVG).</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hat keine Kostennote eingereicht. Auf entsprechende Nachforderung kann verzichtet werden, da der notwendige Vertretungsaufwand aufgrund der Akten zuverlässig abgeschätzt werden kann (Art. 14 Abs. 2 in fine VGKE). Unter Berücksichtigung der massgebenden Berechnungsfaktoren (Art. 9-13 VGKE) ist die Parteientschädigung auf Fr. 725.- (inkl. Auslagen)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