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D-4303/2022 vom 28. September 2022</w:t>
      </w:r>
    </w:p>
    <w:p>
      <w:r>
        <w:t>Bundesverwaltungsgericht, 2022-09-28, DE</w:t>
      </w:r>
    </w:p>
    <w:p>
      <w:r>
        <w:rPr>
          <w:b/>
        </w:rPr>
        <w:t xml:space="preserve">Quelle: </w:t>
      </w:r>
      <w:r>
        <w:t>https://mcp.opencaselaw.ch/entscheid/bvger_D-4303_2022</w:t>
      </w:r>
    </w:p>
    <w:p>
      <w:r>
        <w:t>FR: TAF D-4303/2022 du 28 septembre 2022</w:t>
      </w:r>
    </w:p>
    <w:p>
      <w:r>
        <w:t>IT: TAF D-4303/2022 del 28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Formelle Rügen sind vorab zu beurteilen, da sie allenfalls geeignet wären, eine Kassation der vorinstanzlichen Verfügung zu bewirken.</w:t>
      </w:r>
    </w:p>
    <w:p>
      <w:r>
        <w:rPr>
          <w:b/>
        </w:rPr>
        <w:t>E. 3.2</w:t>
      </w:r>
    </w:p>
    <w:p>
      <w:r>
        <w:t>Soweit die Beschwerdeführerin rügt, die Vorinstanz habe sich nicht mit den eingereichten Beweismitteln auseinandergesetzt, verkennt sie, dass diese Beweismittel erst nach Erlass der Verfügung vom 14. September 2022 beim SEM eingingen. Damit geht die Rüge von vornherein ins Leere. Dasselbe gilt für den Einwand, die deutschen Behörden seien vom SEM nicht korrekt informiert worden. Art. 19 Abs. 2 Dublin-III-VO regelt ausdrücklich, dass die Beweislast für das Vorliegen des gegenständlichen ausnahmsweisen Endigungstatbestandes dem bisher zuständigen, also dem ersuchten Mitgliedstaat zuzuweisen ist (vgl. Filzwieser/Sprung, Dublin III-Verordnung, Wien 2014, K9 zu Art. 19). Ein betreffend Art. 19 Abs. 2 relevantes Vorbringen ist dem ersuchten (bisher zuständigen) Mitgliedstaat (gegebenenfalls mit einer nachvollziehbaren negativen Glaubwürdigkeitseinschätzung) zu übermitteln. Nur so kann der ersuchte Mitgliedstaat das allfällige Vorliegen des Endigungstatbestandes des Art. 19 Abs. 2 beurteilen und die formelle Zuweisung der Beweislast an ihn inhaltlich gerechtfertigt werden (a.a.O., K10 zu Art. 19). Eine ungenügende Information der deutschen Behörden durch das SEM ergibt sich aus den Akten offensichtlich nicht, vielmehr wurden im Übernahmeersuchen (vgl. SEM-Akten 1191435-13/5) sämtliche im damaligen Zeitpunkt bekannten Erkenntnisse (einschliesslich der Angaben der Beschwerdeführerin) aufgeführt. Weitere Auskünfte wurden von den deutschen Behörden nicht verlangt, was ihnen freigestanden hätte, wenn sie Zweifel am erforderlichen Aufenthalt im Dublin-Raum gehabt hätten.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unter Vorbehalt der von Art. 7 Abs. 3 und Art. 20 Abs. 5 erfassten Situationen (vgl. zum Ganzen BVGE 2017 VI/5 E. 6.2 und 8.2.1 m.w.H.; BVGE 2019 VI/7 E. 4-6).</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Diese Verpflichtung erlischt, wenn der Gesuchsteller oder eine andere Person gemäss Art. 18 Abs. 1 Bst. c oder d das Hoheitsgebiet der Mitgliedstaaten während einer Dauer von mindestens drei Monaten verlassen hat, ausser die Person verfüge über einen durch den zuständigen Mitgliedstaat ausgestellten Aufenthaltstitel (Art. 19 Abs. 2 Dublin-III-VO).</w:t>
      </w:r>
    </w:p>
    <w:p>
      <w:r>
        <w:rPr>
          <w:b/>
        </w:rPr>
        <w:t>E. 5.1</w:t>
      </w:r>
    </w:p>
    <w:p>
      <w:r>
        <w:t>Die Beschwerdeführerin bestreitet nicht, am 11. Mai 2022 in Deutschland ein Asylgesuch eingereicht zu haben. Sie verneint aber die grundsätzliche Zuständigkeit Deutschlands, da sie sich darauf beruft, aufgrund ihrer Rückkehr in die Türkei und des damit verbundenen Aufenthalts ausserhalb des Dublin-Raumes sei die Zuständigkeit Deutschlands gemäss Art. 19 Abs. 2 Dublin-III-VO erloschen.</w:t>
      </w:r>
    </w:p>
    <w:p>
      <w:r>
        <w:rPr>
          <w:b/>
        </w:rPr>
        <w:t>E. 5.2</w:t>
      </w:r>
    </w:p>
    <w:p>
      <w:r>
        <w:t>Das SEM führte in der angefochtenen Verfügung aus, es sei gemäss eigenen Aussagen der Beschwerdeführerin nicht davon auszugehen, dass sie sich für mindestens drei Monate ausserhalb des Hoheitsgebiets der Dublin-Staaten aufgehalten habe. Zudem seien ihre diesbezüglichen Aussagen unglaubhaft, umso mehr als sie keine entsprechenden Beweismittel eingereicht habe.</w:t>
      </w:r>
    </w:p>
    <w:p>
      <w:r>
        <w:rPr>
          <w:b/>
        </w:rPr>
        <w:t>E. 5.3</w:t>
      </w:r>
    </w:p>
    <w:p>
      <w:r>
        <w:t>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w:t>
      </w:r>
    </w:p>
    <w:p>
      <w:r>
        <w:rPr>
          <w:b/>
        </w:rPr>
        <w:t>E. 5.4</w:t>
      </w:r>
    </w:p>
    <w:p>
      <w:r>
        <w:t>In dieser Hinsicht einschlägig sind die Beweiswürdigungsbestimmungen von Art. 22 Abs. 2 ff. Dublin-III-VO. Um beispielsweise die Ausreise nachzuweisen, sind «Beweismittel und Indizien» geeignet, die gemäss Art. 22 Abs. 3 Bst. a und b Dublin-III-VO durch die EU-Kommission in Durchführungsrechtsakten in zwei Verzeichnissen festgelegt werden. Diese beiden Verzeichnisse sind in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enthalten. In beiden Verzeichnissen wird festgelegt, welche Beweismittel und Indizien im Zuge der Feststellung des Erlöschens gemäss Art. 19 Abs. 2 Dublin-III-VO Verwendung finden.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Indizien (vgl. Anhang II, Verzeichnis B, Ziff. II.3 der Durchführungsverordnung).</w:t>
      </w:r>
    </w:p>
    <w:p>
      <w:r>
        <w:rPr>
          <w:b/>
        </w:rPr>
        <w:t>E. 5.5</w:t>
      </w:r>
    </w:p>
    <w:p>
      <w:r>
        <w:t>Zunächst ist dem SEM darin zuzustimmen, dass - ausgehend von den eigenen Aussagen der Beschwerdeführerin - selbst bei einer (unwahrscheinlichen) Ausreise aus Deutschland am 11. Mai 2022, also dem Tag des Asylgesuches, auf dem Landweg und dem behaupteten (erneuten) Verlassen der Türkei am 11. August 2022 kaum ein Aufenthalt von mindestens drei Monaten ausserhalb des Dublin-Raumes vorliegen würde. Die höchstens als Indizien zu berücksichtigenden Dokumente (Kopie eines Mietvertrages, Foto einer Busfahrkarte vom 23. Juni 2022, Registrierung im Krankenhaus in B._______ am 8. August 2022) sind sodann nicht geeignet, eine Aufenthaltsdauer von mindestens drei Monaten ausserhalb des Dublin-Raumes glaubhaft zu machen. Keines dieser Dokumente weist einen Zusammenhang zur angeblich am 11. Mai 2022 erfolgten Ausreise aus Deutschland, geschweige denn einem gleichentags erfolgten Verlassen des Dublin-Raumes auf. Dies gilt insbesondere auch für die Kopie des eingereichten Mietvertrages mit angeblichem Mietbeginn am 20. Mai 2022. Das handschriftlich ausgefüllte Dokument, das kein Ausstellungsdatum enthält, kann jederzeit und irgendwo verfasst worden sein. Welche weiteren Nachweise die Beschwerdeführerin vorlegen könnte, wird in der Beschwerdeschrift sodann nicht substanziiert ausgeführt, weshalb es sich erübrigt, diesbezüglich eine Eingabefrist anzusetzen und deren Eingang abzuwarten. Insgesamt vermögen weder die Angaben der Beschwerdeführerin noch die eingereichten Unterlagen einen Aufenthalt von mindestens drei Monaten ausserhalb des Dublin-Raumes zu belegen oder auch nur glaubhaft zu machen.</w:t>
      </w:r>
    </w:p>
    <w:p>
      <w:r>
        <w:rPr>
          <w:b/>
        </w:rPr>
        <w:t>E. 5.6</w:t>
      </w:r>
    </w:p>
    <w:p>
      <w:r>
        <w:t>Nach dem Gesagten liegt keine Übertragung der Zuständigkeit auf die Schweiz nach Art. 19 Abs. 2 Dublin-III-VO vor.</w:t>
      </w:r>
    </w:p>
    <w:p>
      <w:r>
        <w:rPr>
          <w:b/>
        </w:rPr>
        <w:t>E. 6.1</w:t>
      </w:r>
    </w:p>
    <w:p>
      <w:r>
        <w:t>Im Lichte von Art. 3 Abs. 2 Dublin-III-VO ist zu prüfen, ob es wesentliche Gründe für die Annahme gibt, das Asylverfahren und die Aufnahmebedingungen für Asylsuchende in Deutschland würden systemische Schwachstellen aufweisen.</w:t>
      </w:r>
    </w:p>
    <w:p>
      <w:r>
        <w:rPr>
          <w:b/>
        </w:rPr>
        <w:t>E. 6.2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Weiter ist zu prüfen, ob das SEM gemäss Art. 17 Abs. 1 Satz 1 Dublin-III-VO vom sogenannten Selbsteintrittsrecht hätte Gebrauch machen müssen.</w:t>
      </w:r>
    </w:p>
    <w:p>
      <w:r>
        <w:rPr>
          <w:b/>
        </w:rPr>
        <w:t>E. 7.2</w:t>
      </w:r>
    </w:p>
    <w:p>
      <w:r>
        <w:t>Die deutschen Behörden stimmten der Wiederaufnahme der Beschwerdeführerin gestützt auf Art. 18 Abs. 1 Bst. b Dublin-III-VO zu. Damit haben sie signalisiert, die Verantwortung für das Asylverfahren übernehmen zu wollen. Die Beschwerdeführerin hat in diesem Zusammenhang kein konkretes und ernsthaftes Risiko dargetan, die deutschen Behörden würden sich weigern, sie wiederaufzunehmen und ihren Antrag auf internationalen Schutz unter Einhaltung der Regeln der Verfahrensrichtlinie zu prüfen. Sie hat nichts geltend gemacht, was die Vermutung einer völker- und gemeinschafsrechtskonformer Behandlung durch Deutschland ernsthaft erschüttern könnte. Den Akten sind somit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An der Zulässigkeit der Überstellung vermag auch nichts zu ändern, dass sich die Beschwerdeführerin in Deutschland angeblich einer Leibesvisitation hat unterziehen müssen und auch ihre Taschen durchsucht worden seien. Hinsichtlich der Verwandten des (...) in Deutschland stellte die Vorinstanz zu Recht fest, Deutschland sei ein funktionierender Rechtsstaat und die Behörden seien gewillt und fähig, bei Übergriffen Dritter staatlichen Schutz zu gewähren.</w:t>
      </w:r>
    </w:p>
    <w:p>
      <w:r>
        <w:rPr>
          <w:b/>
        </w:rPr>
        <w:t>E. 7.3</w:t>
      </w:r>
    </w:p>
    <w:p>
      <w:r>
        <w:t>Die Beschwerdeführerin wurde in Deutschland - wenn auch angeblich gegen ihren Willen - als Asylsuchende registriert. Klarzustellen gilt es an dieser Stelle, dass die Dublin-III-VO den Schutzsuchenden kein Recht einräumt, den ihren Antrag prüfenden Staat selber auszuwählen (vgl. BVGE 2010/45 E. 8.3). Die Abnahme der Fingerabdrücke von illegal einreisenden Ausländern und Asylsuchenden wiederum stützt sich auf die Eurodac-Verordnung und erweist sich somit als legitim (vgl. beispielsweise Urteile des BVGer F-1010/2022 vom 11. März 2022 E. 3.2, F-967/2022 vom 7. März 2022 E. 7.3 oder F-599/2022 vom 14. Februar 2022 E. 3).</w:t>
      </w:r>
    </w:p>
    <w:p>
      <w:r>
        <w:rPr>
          <w:b/>
        </w:rPr>
        <w:t>E. 7.4</w:t>
      </w:r>
    </w:p>
    <w:p>
      <w:r>
        <w:t>Des Weiteren liegen keine konkreten Anhaltspunkte vor, wonach die Gesundheit der Beschwerdeführerin bei einer Überstellung nach Deutschland ernsthaft gefährdet würde. Solches wird in der Beschwerde denn auch nicht geltend gemacht. Ferner verfügt Deutschland über eine ausreichende medizinische Infrastruktur und es bestehen keine Anhaltspunkte, wonach ihr dort eine adäquate medizinische Behandlung verweigert würde.</w:t>
      </w:r>
    </w:p>
    <w:p>
      <w:r>
        <w:rPr>
          <w:b/>
        </w:rPr>
        <w:t>E. 7.5</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8</w:t>
      </w:r>
    </w:p>
    <w:p>
      <w:r>
        <w:t>Das SEM ist demnach zu Recht in Anwendung von Art. 31a Abs. 1 Bst. b AsylG auf das Asylgesuch der Beschwerdeführerin nicht eingetreten. Da sie nicht im Besitz einer gültigen Aufenthalts- oder Niederlassungsbewilligung ist, wurde die Überstellung nach Deutschland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Das Beschwerdeverfahren ist mit vorliegendem Urteil abgeschlossen, weshalb sich die Anträge auf Anordnung superprovisorischer Massnahmen, Kostenvorschussverzicht sowie Gewährung der aufschiebenden Wirkung als gegenstandslos erweisen.</w:t>
      </w:r>
    </w:p>
    <w:p>
      <w:r>
        <w:rPr>
          <w:b/>
        </w:rPr>
        <w:t>E. 12.1</w:t>
      </w:r>
    </w:p>
    <w:p>
      <w:r>
        <w:t>Die Begehren waren - wie sich aus den vorstehenden Erwägungen ergibt - als aussichtslos zu bezeichnen, weshalb das Gesuch um Gewährung der unentgeltlichen Prozessführung und unentgeltlichen Rechtsvertretung (Art. 65 Abs. 1 und 2 VwVG) unbesehen der geltend gemachten Bedürftigkeit abzuweisen ist.</w:t>
      </w:r>
    </w:p>
    <w:p>
      <w:r>
        <w:rPr>
          <w:b/>
        </w:rPr>
        <w:t>E. 12.2</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