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D-4297/2011 vom 7. Mai 2012</w:t>
      </w:r>
    </w:p>
    <w:p>
      <w:r>
        <w:t>Bundesverwaltungsgericht, 2012-05-07, DE</w:t>
      </w:r>
    </w:p>
    <w:p>
      <w:r>
        <w:rPr>
          <w:b/>
        </w:rPr>
        <w:t xml:space="preserve">Quelle: </w:t>
      </w:r>
      <w:r>
        <w:t>https://mcp.opencaselaw.ch/entscheid/bvger_D-4297_2011</w:t>
      </w:r>
    </w:p>
    <w:p>
      <w:r>
        <w:t>FR: TAF D-4297/2011 du 7 mai 2012</w:t>
      </w:r>
    </w:p>
    <w:p>
      <w:r>
        <w:t>IT: TAF D-4297/2011 del 7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Herkunftsland eine Gefährdungssituation erst geschaffen worden ist, macht subjektive Nachfluchtgründe geltend (vgl. Art. 54 AsylG).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Entscheidungen und Mitteilungen der Schweizerischen Asylrekurskommission {ARK} [EMARK] 1995 Nr. 7 E. 7b und 8 S. 67 ff.; 2000 Nr. 16 E. 5a S. 141 f. m.w.H.).</w:t>
      </w:r>
    </w:p>
    <w:p>
      <w:r>
        <w:rPr>
          <w:b/>
        </w:rPr>
        <w:t>E. 5.1</w:t>
      </w:r>
    </w:p>
    <w:p>
      <w:r>
        <w:t>In seiner Beschwerdebegründung macht der Beschwerdeführer im Wesentlichen geltend, die engmaschige Überwachung der äthiopischen Exilopposition, insbesondere auch der EPPF in der Schweiz, sei gerichtsnotorisch, wie das Urteil des Bundesverwaltungsgerichts D-4943/2006 vom 8. Juli 2008 dokumentiere. Ausserdem habe der Beschwerdeführer für seine andauernden exilpolitischen Aktivitäten stichhaltige Beweismittel beigebracht. Er habe an verschiedenen Kundgebungen und Demonstrationen der äthiopischen Exilopposition teilgenommen und sich dabei jeweils in den vordersten Reihen profiliert. Es erweise sich als überwiegend wahrscheinlich, dass die äthiopischen Sicherheitskräfte von den exilpolitischen Aktivitäten des Beschwerdeführers Kenntnis genommen und ihn inzwischen namentlich hätten identifizieren können. Dass der Beschwerdeführer bis heute von den heimatlichen Behörden nicht tangiert worden sei, hänge bloss mit seinem Verbleib in der Schweiz zusammen, zumal entsprechende Verfolgungsmassnahmen in der Regel frühestens bei der Wiedereinreise nach Äthiopien zu erwarten seien. Die Gesamtwürdigung aller massgeblichen Fakten ergebe, dass die Flüchtlingseigenschaft des Beschwerdeführers als ausgewiesen erscheine. Schliesslich habe der Beschwerdeführer mit einer in Äthiopien geborenen eritreischen Staatsangehörigen eine Partnerschaft und ein gemeinsames Kind. Demnach sei der Wegweisungsvollzug des Beschwerdeführers und derjenige des gemeinsamen Kindes nach Eritrea nicht ernsthaft in Betracht zu ziehen. Ein Wegweisungsvollzug des Beschwerdeführers und seiner Familie sei deshalb insgesamt nicht zumutbar.</w:t>
      </w:r>
    </w:p>
    <w:p>
      <w:r>
        <w:rPr>
          <w:b/>
        </w:rPr>
        <w:t>E. 5.2</w:t>
      </w:r>
    </w:p>
    <w:p>
      <w:r>
        <w:t>Aus der Rechtsmitteleingabe ergibt sich als Rüge die Verletzung von Bundesrecht, indem dem Beschwerdeführer zu Unrecht die Flüchtlingseigenschaft nicht zuerkannt worden sei. Wie jedoch bereits in der Zwischenverfügung vom 17. August 2011 festgestellt, kommt nun das Bundesverwaltungsgericht auch nach einer vertieften Prüfung der vorliegenden Akten zum Schluss, dass die Schlussfolgerungen der Vorinstanz zutreffen und die Ausführungen im Beschwerdeverfahren nicht geeignet sind, diese zu entkräften. Zwar hat der Beschwerdeführer im ersten Asylverfahren politisch motivierte Verfolgungsgründe angeführt, doch haben sich diese als asylrechtlich unerheblich erwiesen, weil die vorgebrachte, etwa zweimonatige Haft wegen lange zurückliegenden politischen Aktivitäten schon zum Zeitpunkt seiner Ausreise aus dem Heimatstaat zeitlich bereits zu weit zurücklag und ihm aus diesem Vorkommnis im Heimatstaat jahrelang keine weiteren Nachteile erwuchsen. Dementsprechend gibt es keinen Anlass zur Annahme, die äthiopischen Behörden hätten den Beschwerdeführer vor seiner Ausreise im Blickfeld gehabt. Wie aufgrund der vom Beschwerdeführer eingereichten Beweismittel anzunehmen ist, begann er erst in der Schweiz damit, sich zu Gunsten der EPPF exilpolitisch zu betätigen. Sein in der Schweiz einsetzender Aktivismus kann jedenfalls nicht als Fortsetzung eines bereits im Heimatland bestehenden politischen Engagements betrachtet werden. Abgesehen davon ist vorliegend nicht davon auszugehen, dass diese Betätigungen bei einer Rückkehr in den Heimatstaat mit hoher Wahrscheinlichkeit politische Verfolgung nach sich ziehen. Zwar ist gemäss Erkenntnissen des Bundesverwaltungsgerichts davon auszugehen, dass die äthiopischen Sicherheitsbehörden die Aktivitäten der jeweiligen Exilgemeinschaften in einem gewissen Ausmass überwachen. Indessen ist in casu ein exponierter exilpolitischer Einsatz des Beschwerdeführers, der ihn ins Zentrum des Interesses des äthiopischen Nachrichtendienstes rücken könnte, aufgrund der vorliegenden Akten zu verneinen. Der Umstand, dass der Beschwerdeführer im Rahmen seiner exilpolitischen Aktivitäten Demonstrationen organisiert, Bücher verkauft und den Versuch unternommen habe, neue Parteimitglieder anzuwerben, bedeutet keineswegs, dass er eine bedeutende politische Rolle spielt, selbst wenn er bei Versammlungen jeweils in den vordersten Reihen steht, was sich angesichts des kleinen Umfangs dieser Oppositionsbewegung beinahe nicht vermeiden lässt (B11/8 F31 S. 5). Der Beschwerdeführer gehört nicht zur Zielgruppe des "harten Kerns" von aktiven oppositionellen Äthiopiern im Ausland, für die sich die äthiopischen Behörden interessieren. In diesem Sinne geht das Bundesverwaltungsgericht davon aus, dass die äthiopischen Sicherheitsbehörden, selbst wenn sie von den exilpolitischen Aktivitäten des Beschwerdeführers Kenntnis erlangt hätten, sich mit überwiegender Wahrscheinlichkeit nicht ernsthaft für diesen interessieren würden (siehe in diesem Zusammenhang die Urteile des Bundesverwaltungsgerichts D-7794/2009 vom 6. August 2010 und D-637/2011 vom 24. August 2011). Dementsprechend erscheint es ausgeschlossen, derlei Aktivitäten könnten als konkrete Bedrohung für das politische System Äthiopiens wahrgenommen werden. Es fehlen im vorliegenden Fall zudem jegliche aktenkundige Hinweise darauf, dass gegen den Beschwerdeführer aufgrund der genannten Aktivitäten in Äthiopien ein Strafverfahren oder andere behördliche Massnahmen eingeleitet worden sind, wobei in diesem Zusammenhang unter Hinweis auf die in Art. 8 AsylG verankerte Mitwirkungspflicht festzuhalten ist, dass es nicht Sache der schweizerischen Asylbehörden sein kann, jede auch nur ansatzweise und abstrakt mögliche Gefährdungssituation im Heimatland des Beschwerdeführers abklären zu müssen. Im Übrigen wird zur Vermeidung von Wiederholungen auf die Erwägungen der Vorinstanz und der Zwischenverfügung vom 17. August 2011 verwiesen. Die erhobene Rüge erweist sich nach dem Gesagten als unbegründet.</w:t>
      </w:r>
    </w:p>
    <w:p>
      <w:r>
        <w:rPr>
          <w:b/>
        </w:rPr>
        <w:t>E. 5.3</w:t>
      </w:r>
    </w:p>
    <w:p>
      <w:r>
        <w:t>Aufgrund der vorstehenden Erwägungen erübrigt es sich, auf die übrigen Ausführungen in der Beschwerde und die als Beweismittel eingereichten Dokumente weiter einzugehen, weil sie am Ergebnis nichts ändern können. Unter Berücksichtigung der gesamten Umstände folgt, dass der Beschwerdeführer keine Gründe nach Art. 3 AsylG nachweisen oder glaubhaft machen konnte und er auch die Voraussetzungen für die Anerkennung von subjektiven Nachfluchtgründen im Sinne von Art. 54 AsylG nicht erfüllt. Das BFM hat demzufolge die Flüchtlingseigenschaft des Beschwerdeführers zu Recht verneint.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w:t>
      </w:r>
    </w:p>
    <w:p>
      <w:r>
        <w:rPr>
          <w:b/>
        </w:rPr>
        <w:t>E. 7.2.2</w:t>
      </w:r>
    </w:p>
    <w:p>
      <w:r>
        <w:t>An dieser Stelle ist im Weiteren zu prüfen, ob der Beschwerdeführer allenfalls gestützt auf Art. 44 Abs. 1 AsylG ein Aufenthaltsrecht in der Schweiz für sich ableiten kann. Art. 44 Abs. 1 AsylG hält fest, dass beim Vollzug einer angeordneten Wegweisung der "Grundsatz der Einheit der Familie" zu berücksichtigen sei. Unter dem Begriff "Einheit der Familie" ist zu verstehen, dass Familienmitglieder nicht voneinander getrennt werden, sondern faktisch zusammenleben können, und dass der Familie nach Möglichkeit ein einheitlicher Rechtsstatus eingeräumt wird (vgl. dazu Peter Zimmermann, Der Grundsatz der Familieneinheit im Asylrecht der Bundesrepublik Deutschland und der Schweiz, Berlin 1991, S. 94; Samuel Werenfels, Der Begriff des Flüchtlings im schweizerischen Asylrecht, Bern u.a. 1987, S. 141, 377, EMARK 1995 Nr. 24). In personeller Hinsicht umfasst der Begriff der Familie dabei den Ehepartner und die minderjährigen Kinder, wobei der in dauerhafter eheähnlicher Gemeinschaft lebende Partner dem Ehepartner gleichzustellen ist (vgl. Art. 1a der Asylverordnung 1 über Verfahrensfragen vom 11. August 1999 [AsylV 1, SR 142.311]). Der Grundsatz der Einheit der Familie führt dazu, dass die vorläufige Aufnahme des einen Familienmitglieds in der Regel auch zur vorläufigen Aufnahme der anderen Familienmitglieder führt. In seinem zweiten Asylgesuch (siehe B1/1) macht der Beschwerdeführer geltend, seine Freundin und seine beiden vier und sechzehn Monate alten Kinder lebten in M._______, und er wolle so viel Zeit mit ihnen verbringen wie möglich. Wie sich aus den Akten ergibt, ist lediglich deren Sohn ein gemeinsames Kind der Freundin mit dem Beschwerdeführer, während deren Tochter ein Stiefkind des Beschwerdeführers ist. Bei der Freundin des Beschwerdeführers handelt es sich um eine Asylbewerberin, deren Asylgesuch mit Urteil vom 19. April 2010 des Bundesverwaltungsgerichts abgewiesen und deren Wegweisung angeordnet wurde. In besagtem Urteil wird rechtskräftig festgestellt, sie sei nicht eine eritreische, sondern eine äthiopische Staatsangehörige, und der Wegweisungsvollzug nach Äthiopien sei zulässig, zumutbar und möglich. Demnach kann der Beschwerdeführer gemeinsam mit seiner Freundin und den beiden Kindern nach Äthiopien zurückkehren und dort zusammenleben, weshalb der Grundsatz der Einheit der Familie nicht verletzt ist. Er kann somit auch aus den ausländerrechtlichen Bestimmungen sowie aus Art. 8 EMRK keinen Anspruch auf Regelung seiner Anwesenheit beziehungsweise auf Erteilung einer Aufenthaltsbewilligung herleiten.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Äthiopien herrscht zurzeit keine Situation allgemeiner Gewalt, weshalb in konstanter Praxis von der generellen Zumutbarkeit des Wegweisungsvollzugs nach Äthiopien ausgegangen wird (vgl. bspw. D-4738/2010 vom 3. Februar 2011; bereits EMARK 1998 Nr. 22). Seit der Unterzeichnung des Friedensabkommens zwischen Äthiopien und Eritrea am 12. Dezember 2000 kontrollieren UNO-Soldaten die Grenze zwischen den beiden Ländern. Zwar konnten diese ein sporadisches Wiederaufflackern des Grenzkonfliktes nicht verhindern. Eine landesweite Situation allgemeiner Gewalt ist dadurch aber nicht entstanden. Entsprechend muss nicht von einer konkreten Gefährdung des Beschwerdeführers ausgegangen werden.</w:t>
      </w:r>
    </w:p>
    <w:p>
      <w:r>
        <w:rPr>
          <w:b/>
        </w:rPr>
        <w:t>E. 7.3.2</w:t>
      </w:r>
    </w:p>
    <w:p>
      <w:r>
        <w:t>Im Weiteren ist das Vorliegen individueller Wegweisungshindernisse des Beschwerdeführers zu prüfen. Wie sich aus den Akten ergibt, wurden die individuellen Wegweisungshindernisse bereits im Rahmen des ersten Asylverfahrens beurteilt; in diesem Zusammenhang wurde die Zumutbarkeit des Wegweisungsvollzugs bejaht. Seither war weder generell noch individuell eine Veränderung zu verzeichnen, weshalb die Zumutbarkeit des Wegweisungsvollzugs weiterhin bejaht werden kann. Da im vorliegenden Beschwerdeverfahren die Unzumutbarkeit des Wegweisungsvollzugs ausschliesslich mit dem bzw. den Kindsverhältnissen und der Freundschaft mit einer eritreischen Asylbewerberin begründet wird, ist an dieser Stelle auf die vorangehenden Erwägungen unter 7.2.2 zu verweisen. Es ist dem Beschwerdeführer ohne Weiteres zuzumuten, das Familienleben mit seiner Partnerin und den Kindern im gemeinsamen Heimatstaat zu pflegen.</w:t>
      </w:r>
    </w:p>
    <w:p>
      <w:r>
        <w:rPr>
          <w:b/>
        </w:rPr>
        <w:t>E. 7.3.3</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1. September 2011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