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D-4293/2014 vom 23. Februar 2015</w:t>
      </w:r>
    </w:p>
    <w:p>
      <w:r>
        <w:t>Bundesverwaltungsgericht, 2015-02-23, DE</w:t>
      </w:r>
    </w:p>
    <w:p>
      <w:r>
        <w:rPr>
          <w:b/>
        </w:rPr>
        <w:t xml:space="preserve">Quelle: </w:t>
      </w:r>
      <w:r>
        <w:t>https://mcp.opencaselaw.ch/entscheid/bvger_D-4293_2014</w:t>
      </w:r>
    </w:p>
    <w:p>
      <w:r>
        <w:t>FR: TAF D-4293/2014 du 23 février 2015</w:t>
      </w:r>
    </w:p>
    <w:p>
      <w:r>
        <w:t>IT: TAF D-4293/2014 del 23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Beschwerdeschrift vermögen nicht zu einer veränderten Betrachtungsweise zu führen, zumal sich die Beschwerdeführerin bereits hinsichtlich des Reisewegs widersprüchlich und wirklichkeitsfremd geäussert hat (vgl. Akten BFM A6/12 Ziff. 5.02 und 5.03 S. 6/7, A15/21 F140 ff. S. 14). So ist beispielsweise nicht davon auszugehen, die Beschwerdeführerin wisse nicht Bescheid über die von ihr benutzten Flugrouten und -destinationen und habe die Hilfe eines Schleppers in An­spruch genommen, um nach Europa zu fliegen. Bezeichnenderweise war sie denn auch nicht in der Lage, den schweizerischen Asylbehörden das "dunkelgrüne Heft auf den Namen B._______" (A6/12 Ziff. 5.03 S. 7), das sie für die Reise nach Europa benutzt habe, zu übergeben. Angesichts ihrer Vorbringen hätte sie indessen dazu in der Lage sein müssen. Dementsprechend hinterlassen ihre Vorbringen zum Reiseweg einen wirklichkeitsfremden Eindruck. Sie sind praxisgemäss nicht lediglich als isolierte, unglaubhafte Vorbringen zu würdigen, sondern lassen darüber hinaus auch Rückschlüsse auf die Glaubhaftigkeit einer geltend gemachten Verfolgungssituation zu (EMARK 1998 Nr. 17 E. 4b S. 150). Dies bestätigt sich auch im vorliegenden Fall, drängt sich doch aufgrund der Akten keinesfalls der Schluss auf, die Beschwerdeführerin habe sich lediglich bezüglich des Reisewegs unglaubhaft geäussert.</w:t>
      </w:r>
    </w:p>
    <w:p>
      <w:r>
        <w:rPr>
          <w:b/>
        </w:rPr>
        <w:t>E. 5.2</w:t>
      </w:r>
    </w:p>
    <w:p>
      <w:r>
        <w:t>Die Vorinstanz hat in ihrer Verfügung zu Recht und mit ausführlicher Begründung festgestellt, die Vorbringen der Beschwerdeführerin hielten den Anforderungen an die Glaubhaftigkeit nicht stand und es lägen auch keine subjektiven Nachfluchtgründe vor; zur Vermeidung von Wiederholungen wird auf die zutreffenden Erwägungen in der angefochtenen Verfü­gung verwiesen. Gewichtige Zweifel an der Glaubhaftigkeit bestehen insbesondere aufgrund der fehlenden Vertrautheit der Beschwerdeführerin mit der tibetischen Umgebung, in welcher sie gelebt haben will, sowie der zahlreichen widersprüchlichen Schilderungen zu wesentlichen Begleitumständen der angeblichen Verfolgungssituation. Angesichts der zahlreichen Unstimmigkeiten drängt sich der Schluss auf, die Beschwerdeführerin habe eine Verfolgungssituation erfunden, die sich in einer ihr unbekannten Umgebung, noch dazu in einem Drittstaat (Volksrepublik China), ereignet haben soll. Es ist nach dem Gesagten davon auszugehen, dass die Beschwerdeführerin eine andere als die wahre Identität offengelegt hat. Bei Personen tibetischer Ethnie, die ihre wahre Herkunft verschleiern oder verheimlichen, ist nach der Praxis des Bundesverwaltungsgerichts vermutungsweise davon auszugehen, dass keine flüchtlings- oder wegweisungsbeachtlichen Gründe gegen eine Rückkehr an ihren bisherigen Aufenthaltsort bestehen.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5.3</w:t>
      </w:r>
    </w:p>
    <w:p>
      <w:r>
        <w:t>Zusammenfassend ist somit festzuhalten, dass die Asylvorbringen der Beschwerdeführerin den Anforderungen an das Glaubhaftmachen im Sin­ne von Art. 7 AsylG nicht genügen. An dieser Einschätzung können auch die weiteren Ausführungen in der Rechtsmitteleingabe nichts ändern. Das BFM hat das Asylgesuch der Beschwerdeführerin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Staatsangehörigkeit vorliegen (vgl. EMARK 2005 Nr. 1 E. 3.2.2, mit weiteren Hinweisen). Ein Vollzug der Wegweisung in die Volksrepublik China ist im vorinstanzlichen Entscheid ausdrücklich ausgeschlossen worden (vgl. BFM-Verfügung vom 1. Juli 2014, Dispositivziffer 5).</w:t>
      </w:r>
    </w:p>
    <w:p>
      <w:r>
        <w:rPr>
          <w:b/>
        </w:rPr>
        <w:t>E. 7.3</w:t>
      </w:r>
    </w:p>
    <w:p>
      <w:r>
        <w:t>Im vorliegenden Fall hat die Beschwerdeführerin, die tibetischer Ethnie ist, keine Identitätspapiere eingereicht und auch ihre behauptete chinesische Staatsangehörigkeit nicht glaubhaft gemacht. Aufgrund der unglaubhaften Ausführungen der Beschwerdeführerin ist ihre angebliche Herkunft aus der Volksrepublik China nicht glaubhaft. Vielmehr ist mit überwiegender Wahrscheinlichkeit davon auszugehen, dass sie vor ihrer Ankunft in der Schweiz in der exiltibetischen Diaspora gelebt hat, wodurch sich allerdings noch keine schlüssigen Erkenntnisse hinsichtlich ihrer Staatsangehörigkeit ergeben. Eine Zuordnung der Staatsangehörigkeit ist indes nicht möglich, da der Ort der Sozialisation mit demjenigen der Staatsangehörigkeit nicht gleichzusetzen ist (vgl. EMARK, a.a.O. E. 3.2.1).</w:t>
      </w:r>
    </w:p>
    <w:p>
      <w:r>
        <w:rPr>
          <w:b/>
        </w:rPr>
        <w:t>E. 7.4.1</w:t>
      </w:r>
    </w:p>
    <w:p>
      <w:r>
        <w:t>Im obenerwähnten Urteil des Bundesverwaltungsgerichts (vgl. BVGE 2014/12) hat selbiges in Erwägung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w:t>
      </w:r>
    </w:p>
    <w:p>
      <w:r>
        <w:rPr>
          <w:b/>
        </w:rPr>
        <w:t>E. 7.4.2</w:t>
      </w:r>
    </w:p>
    <w:p>
      <w:r>
        <w:t>Im vorliegenden Fall hat die Beschwerdeführerin, welche tibetischer Ethnie ist, keine Identitätspapiere eingereicht. Zudem erscheint ihre be­hauptete chinesische Staatsangehörigkeit aufgrund ihres Alltagswissens - wie den vorinstanzlichen Erwägungen zu entnehmen ist - nicht glaubhaft. Sodann sind ihre Ausführungen bezüglich ihrer Reise in die Schweiz widersprüchlich und wirklichkeitsfremd ausgefallen und somit ebenfalls unglaubhaft. Es ist davon auszugehen, die Beschwerdeführerin habe nur unter Verwendung authentischer Identitäts- und Reisepapiere in die Schweiz gelangen können. Es kann seitens der Asylbehörden nicht eruiert werden, welche Staatsangehörigkeit sie besitzt, weil sie die ihr obliegende Mitwirkungspflicht verletzt, deren Folgen sie insofern zu tragen hat, als seitens der Asylbehörden der Schluss gezogen werden muss, es spreche nichts gegen eine Rückkehr an den bisherigen Aufenthaltsort, da sie keine konkreten glaubhaften Hinweise geltend gemacht hat, die gegen eine Rückkehr dorthin sprechen würden.</w:t>
      </w:r>
    </w:p>
    <w:p>
      <w:r>
        <w:rPr>
          <w:b/>
        </w:rPr>
        <w:t>E. 7.5</w:t>
      </w:r>
    </w:p>
    <w:p>
      <w:r>
        <w:t>Es obliegt der Beschwerdeführerin, sich die für eine Rückkehr allen­falls benötigten Reisedokumente zu beschaffen (Art. 8 Abs. 4 AsylG; vgl. BVGE 2008/34 E. 12), weshalb der Vollzug der Wegweisung auch als möglich zu bezeichnen ist.</w:t>
      </w:r>
    </w:p>
    <w:p>
      <w:r>
        <w:rPr>
          <w:b/>
        </w:rPr>
        <w:t>E. 7.6</w:t>
      </w:r>
    </w:p>
    <w:p>
      <w:r>
        <w:t>Nach dem Gesagten fällt die Anordnung der vorläufigen Aufnahme der Beschwerdeführerin in der Schweiz ausser Betracht.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