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D-4288/2015 vom 1. Mai 2017</w:t>
      </w:r>
    </w:p>
    <w:p>
      <w:r>
        <w:t>Bundesverwaltungsgericht, 2017-05-01, DE</w:t>
      </w:r>
    </w:p>
    <w:p>
      <w:r>
        <w:rPr>
          <w:b/>
        </w:rPr>
        <w:t xml:space="preserve">Quelle: </w:t>
      </w:r>
      <w:r>
        <w:t>https://mcp.opencaselaw.ch/entscheid/bvger_D-4288_2015</w:t>
      </w:r>
    </w:p>
    <w:p>
      <w:r>
        <w:t>FR: TAF D-4288/2015 du 1 mai 2017</w:t>
      </w:r>
    </w:p>
    <w:p>
      <w:r>
        <w:t>IT: TAF D-4288/2015 del 1 maggio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[SR 142.31]; Art. 83 Bst. c Ziff. 1 und Bst. d Ziff. 1 BGG).</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die englischsprachige Beschwerdeeingabe verständlich ist, so dass praxisgemäss ohne weiteres darüber befunden werden kann. Der vorliegende Entscheid ergeht indessen in deutscher Sprache (Art. 33a Abs. 2 VwVG i.V.m. Art. 6 AsylG).</w:t>
      </w:r>
    </w:p>
    <w:p>
      <w:r>
        <w:rPr>
          <w:b/>
        </w:rPr>
        <w:t>E. 1.3</w:t>
      </w:r>
    </w:p>
    <w:p>
      <w:r>
        <w:t>Der Beschwerdeführer ist legitimiert (Art. 48 Abs. 1 VwVG) und seine Beschwerdeeingabe erfolgte frist- und (abgesehen vom sprachlichen Mangel) formgerecht (Art. 108 Abs. 1 AsylG i.V.m. Art. 21 Abs. 1 VwVG; Art. 52 Abs. 1 VwVG), womit auf die Beschwerde einzutreten ist.</w:t>
      </w:r>
    </w:p>
    <w:p>
      <w:r>
        <w:rPr>
          <w:b/>
        </w:rPr>
        <w:t>E. 1.4</w:t>
      </w:r>
    </w:p>
    <w:p>
      <w:r>
        <w:t>Mit Beschwerde kann die Verletzung von Bundesrecht (einschliesslich Missbrauch und Überschreiten des Ermessens) sowie die unrichtige und unvollständige Feststellung des rechtserheblichen Sachverhalts gerügt werden (Art. 106 Abs. 1 AsylG; zur Kognition im Auslandverfahren vgl. BVGE 2015/2).</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2.1</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 Der Beschwerdeführer wurde am 31. Oktober 2013 in der Schweizerischen Botschaft in Beirut zu seinen Asylgründen befragt. Den verfahrensrechtlichen Anforderungen wurde damit entsprochen (aArt. 10 der Asylverordnung 1 vom 11. August 1999 [AsylV 1, SR 142.311]).</w:t>
      </w:r>
    </w:p>
    <w:p>
      <w:r>
        <w:rPr>
          <w:b/>
        </w:rPr>
        <w:t>E. 2.2</w:t>
      </w:r>
    </w:p>
    <w:p>
      <w:r>
        <w:t>Die Vorinstanz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2.3</w:t>
      </w:r>
    </w:p>
    <w:p>
      <w:r>
        <w:t>Wer um Asyl nachsucht, muss die Flüchtlingseigenschaft nachweisen oder zumindest glaubhaft machen. Eine Gefährdung im Sinne von Art. 3 AsylG ist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1 - 3 AsylG).</w:t>
      </w:r>
    </w:p>
    <w:p>
      <w:r>
        <w:rPr>
          <w:b/>
        </w:rPr>
        <w:t>E. 2.4</w:t>
      </w:r>
    </w:p>
    <w:p>
      <w:r>
        <w:t>Die Vorinstanz kann einer Person, die sich im Ausland befindet, das Asyl - und damit auch die Einreise in die Schweiz - verweigern, wenn keine Hinweise auf eine aktuelle Gefährdung im Sinne von Art. 3 AsylG vorliegen, respektive wenn eine asylrelevante Gefährdungslage nicht glaubhaft gemacht ist, oder wenn es der asylsuchenden Person zuzumuten ist, sich in einem Drittstaat um Aufnahme zu bemühen (Art. 3, Art. 7 und aArt. 52 Abs. 2 AsylG).</w:t>
      </w:r>
    </w:p>
    <w:p>
      <w:r>
        <w:rPr>
          <w:b/>
        </w:rPr>
        <w:t>E. 2.5</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w:t>
      </w:r>
    </w:p>
    <w:p>
      <w:r>
        <w:rPr>
          <w:b/>
        </w:rPr>
        <w:t>E. 3.1</w:t>
      </w:r>
    </w:p>
    <w:p>
      <w:r>
        <w:t>Das SEM führte zur Begründung seiner Verfügung im Wesentlichen aus, dass rein wirtschaftliche Gründe keinen ernsthaften Nachteil im Sinne von Art. 3 AsylG darstellten. Des Weiteren habe das Flüchtlingsrecht nicht die Aufgabe, Personen zu schützen, die unter den allgemeinen Folgen eines Krieges litten. Bei Zivilpersonen, die an den Kampfhandlungen nicht beteiligt seien und die vom Krieg nur als Nebenfolge des Kampfes betroffen seien, fehle es an der Voraussetzung der Gezieltheit der Verfolgung. Solange Personen also "nur" unter den allgemeinen Auswirkungen und Folgen eines Krieges leiden würden (z.B. schlechte Versorgungslage, Einschränkungen von Grundrechten durch den Ausnahmezustand, allgemeine Unsicherheit und Gefährdung von Leib und Leben), könne ihnen kein Asyl gewährt werden. Ob es sich bei der Beschiessung des Busses durch unbekannte Dritte um eine gegen die Zivilbevölkerung gerichtete Kampfhandlung gehandelt habe, könne zwar nicht abschliessend beurteilt werden, hingegen seien den Akten keine Anhaltspunkte zu entnehmen, die für die Annahme einer gezielt auf den Beschwerdeführer bezogene Verfolgungsmassnahme sprechen würden. Die geltend gemachten erlittenen Nachteile würden somit keine Folgen einer gezielten Bedrohung oder Verfolgung im Sinne von Art. 3 AsylG darstellen. Die von ihm geschilderte Lage sei zweifellos äusserst schwierig, habe ihren Ursprung jedoch im in seinem Heimatland ausgebrochenen Bürgerkrieg und gründe nicht auf einer gezielten Verfolgung seiner Person. Vor diesem Hintergrund erübrige sich auch eine Prüfung der weiteren Voraussetzungen der Erteilung einer Einreisebewilligung im asylrechtlichen Auslandverfahren.</w:t>
      </w:r>
    </w:p>
    <w:p>
      <w:r>
        <w:rPr>
          <w:b/>
        </w:rPr>
        <w:t>E. 3.2</w:t>
      </w:r>
    </w:p>
    <w:p>
      <w:r>
        <w:t>Auf Beschwerdeebene wird in rudimentärer Art und Weise der bereits aktenkundige Sachverhalt wiederholt aufgeführt und gleichzeitig vorgebracht, sein Leben sei miserabel und hoffnungslos. Er warte auf ein Wunder von Gott, um wieder ein Leben in Würde und Respekt führen zu können, wie dies in der Schweiz möglich sei. Syrien habe er seit dem Jahr (...) nicht mehr besucht und sein Haus sei aufgrund des Krieges nicht mehr zugänglich.</w:t>
      </w:r>
    </w:p>
    <w:p>
      <w:r>
        <w:rPr>
          <w:b/>
        </w:rPr>
        <w:t>E. 3.3</w:t>
      </w:r>
    </w:p>
    <w:p>
      <w:r>
        <w:t>Die Vorbringen in der Beschwerde vermögen an der Einschätzung der Vorinstanz, wonach dem Beschwerdeführer keine unmittelbare Gefahr droht, ernsthaften Nachteilen im Sinne von Art. 3 AsylG ausgesetzt zu werden, die zwingend die Bewilligung der Einreise in die Schweiz nach sich ziehen müsste, nichts zu ändern. So ist festzuhalten, dass die vom Beschwerdeführer genannten wirtschaftlichen Gründe, welche ihn zum Verlassen seines Heimatlandes bewogen haben, als nicht asylrelevant zu qualifizieren sind. Sodann ist der geltend gemachte Angriff unbekannter Dritter auf ein öffentliches Transportmittel als Teil des in Syrien herrschenden Bürgerkrieges zu betrachten und deshalb - so schwierig die Situation für die dort lebenden Menschen auch sein mag - nicht als asylbeachtliche Verfolgung zu werten. Der Beschwerdeführer gab sodann explizit zu Protokoll, keine Probleme aufgrund politischer oder religiöser Aktivitäten gehabt zu haben. Aus diesem Grund ist auch eine künftige, an den Zwischenfall vom (...) anknüpfende und in diesem Sinne individuelle Gefährdung des Beschwerdeführers durch die syrischen Militärkräfte beziehungsweise Behörden auszuschliessen. Die Vorinstanz hat richtig festgestellt, dass die geltend gemachten Übergriffe unbekannter Dritter keine ernsthaften Nachteile im Sinne von Art. 3 AsylG darstellen. Damit erübrigt sich eine Prüfung der weiteren Voraussetzungen der Erteilung einer Einreisebewilligung im asylrechtlichen Auslandsverfahren.</w:t>
      </w:r>
    </w:p>
    <w:p>
      <w:r>
        <w:rPr>
          <w:b/>
        </w:rPr>
        <w:t>E. 3.4</w:t>
      </w:r>
    </w:p>
    <w:p>
      <w:r>
        <w:t>Zusammenfassend ergibt sich, dass vorliegend nicht ersichtlich ist, dass der Beschwerdeführer auf die Schutzgewährung durch die Schweiz angewiesen ist. Der Beschwerdeführer ist demzufolge nicht als schutzbedürftig im Sinne von aArt. 20 AsylG in Verbindung mit Art. 3 AsylG zu erkennen. Das SEM hat dem Beschwerdeführer zu Recht die Einreise in die Schweiz verweigert und das Asylgesuch abgelehnt.</w:t>
      </w:r>
    </w:p>
    <w:p>
      <w:r>
        <w:rPr>
          <w:b/>
        </w:rPr>
        <w:t>E. 4</w:t>
      </w:r>
    </w:p>
    <w:p>
      <w:r>
        <w:t>Aus diesen Erwägungen ergibt sich, dass die angefochtene Verfügung Bundesrecht nicht verletzt und den rechtserheblichen Sachverhalt richtig sowie vollständig feststellt (Art. 106 Abs. 1 AsylG). Die Beschwerde ist abzuweisen.</w:t>
      </w:r>
    </w:p>
    <w:p>
      <w:r>
        <w:rPr>
          <w:b/>
        </w:rPr>
        <w:t>E. 5</w:t>
      </w:r>
    </w:p>
    <w:p>
      <w:r>
        <w:t>Bei diesem Ausgang des Verfahrens wären dem Beschwerdeführer an sich Kosten aufzuerlegen (Art. 63 Abs. 1 VwVG). Aus verwaltungsökonomischen Gründen respektive zufolge voraussichtlicher Uneinbringlichkeit der Kosten ist jedoch von einer Kostenauflage abzusehen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