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D-4286/2018 vom 6. September 2018</w:t>
      </w:r>
    </w:p>
    <w:p>
      <w:r>
        <w:t>Bundesverwaltungsgericht, 2018-09-06, DE</w:t>
      </w:r>
    </w:p>
    <w:p>
      <w:r>
        <w:rPr>
          <w:b/>
        </w:rPr>
        <w:t xml:space="preserve">Quelle: </w:t>
      </w:r>
      <w:r>
        <w:t>https://mcp.opencaselaw.ch/entscheid/bvger_D-4286_2018</w:t>
      </w:r>
    </w:p>
    <w:p>
      <w:r>
        <w:t>FR: TAF D-4286/2018 du 6 septembre 2018</w:t>
      </w:r>
    </w:p>
    <w:p>
      <w:r>
        <w:t>IT: TAF D-4286/2018 del 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wie nachfolgend aufgezeigt,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E.2.2).</w:t>
      </w:r>
    </w:p>
    <w:p>
      <w:r>
        <w:rPr>
          <w:b/>
        </w:rPr>
        <w:t>E. 4.1</w:t>
      </w:r>
    </w:p>
    <w:p>
      <w:r>
        <w:t>Die Vorinstanz erachtete die Vorbringen der Beschwerdeführerin, aus dem Militärdienst desertiert zu sein, als nicht glaubhaft. Die Beschwerdeführerin habe unterschiedliche Angaben zu ihrem Aufenthalt im Militär gemacht. So habe sie anlässlich der Erstbefragung angegeben, ein Jahr in B._______ verbracht zu haben (vgl. SEM-Protokoll A5 S. 7) und davon abweichend im Rahmen der Anhörung geltend gemacht, drei Tage habe sie sich in B._______ aufgehalten (vgl. A18 S. 8). Auch habe sie deutlich unterschiedliche Angaben zur Dauer des Fussmarsches gemacht (vgl. A5 S. 7, A18 S. 7). Im Weiteren habe die Beschwerdeführerin in Abweichung der Angabe im Rahmen der summarischen Befragung, wonach sie aus B._______ geflohen sei (vgl. A5 S. 7), anlässlich der Anhörung geltend gemacht, wegen Verletzungen nach Hause gegangen zu sein (vgl. A18. S. 9). Zudem seien die Angaben hinsichtlich der behördlichen Suche nach ihr realitätsfremd ausgefallen. Aufgrund der fehlenden Asylrelevanz der geltend gemachten illegalen Ausreise könne die Frage der Glaubhaftigkeit offengelassen werden.</w:t>
      </w:r>
    </w:p>
    <w:p>
      <w:r>
        <w:rPr>
          <w:b/>
        </w:rPr>
        <w:t>E. 4.2</w:t>
      </w:r>
    </w:p>
    <w:p>
      <w:r>
        <w:t>In der Beschwerde werden ohne Bezug auf die festgestellten Widersprüche lediglich die bereits im Rahmen des vorinstanzlichen Verfahrens geltend gemachten Vorbringen wiederholt. Im Weiteren wird die Nachreichung eines Fotos zur Stützung des geltend gemachten Militärdienstes in Aussicht gestellt.</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jüngst beispielsweise bestätigt in Urteil des BVGer E-1740/2016 vom 9. Februar 2018 E. 5.1). Die Vorinstanz hat zu Recht und mit zutreffender Begründung die geltend gemachte Desertion als nicht glaubhaft erachtet. Zur Vermeidung von Wiederholungen kann auf die überzeugende Argumentation in der angefochtenen Verfügung verwiesen werden, welche in der Beschwerde mangels entsprechender Entgegnungen nicht in Frage gestellt werden können. Folglich bestehen keine konkreten Anhaltspunkte dafür, dass die Beschwerdeführerin von den eritreischen Behörden als Dienstverweigererin angesehen wird.</w:t>
      </w:r>
    </w:p>
    <w:p>
      <w:r>
        <w:rPr>
          <w:b/>
        </w:rPr>
        <w:t>E. 5.2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5.2).Da es der Beschwerdeführerin nicht gelungen ist, die angebliche Desertion glaubhaft zu machen, bestehen keine Hinweise darauf, dass - neben der geltend gemachten illegalen Ausreise - zusätzliche Anknüpfungspunkte existieren, welche sie in den Augen der eritreischen Behörden als missliebige Person erscheinen lassen würden. Im Lichte der neueren Rechtsprechung des Bundesverwaltungsgerichts erfüllt sie - unabhängig von der Frage der Glaubhaftigkeit der illegalen Ausreise - die Flüchtlingseigenschaft deshalb auch unter diesem Gesichtspunkt nicht.</w:t>
      </w:r>
    </w:p>
    <w:p>
      <w:r>
        <w:rPr>
          <w:b/>
        </w:rPr>
        <w:t>E. 6</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7.2.3</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w:t>
      </w:r>
    </w:p>
    <w:p>
      <w:r>
        <w:rPr>
          <w:b/>
        </w:rPr>
        <w:t>E. 7.2.4</w:t>
      </w:r>
    </w:p>
    <w:p>
      <w:r>
        <w:t>Aus den Akten ergeben sich keine weiteren Gründe für die Annahme der Unzulässigkeit des Wegweisungsvollzugs. Der Wegweisungsvollzug ist folglich als zulässig zu betrachten.</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Die drohende Einziehung in den eritreischen Nationaldienst führt mangels einer hinreichend konkreten Gefährdung nicht generell zur Feststellung der Unzumutbarkeit des Wegweisungsvollzugs gemäss Art. 83 Abs. 4 AuG (vgl. Urteil E-5022/2017 E. 6.2).</w:t>
      </w:r>
    </w:p>
    <w:p>
      <w:r>
        <w:rPr>
          <w:b/>
        </w:rPr>
        <w:t>E. 8.3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rPr>
          <w:b/>
        </w:rPr>
        <w:t>E. 8.4</w:t>
      </w:r>
    </w:p>
    <w:p>
      <w:r>
        <w:t>Bei der Beschwerdeführerin handelt es sich um eine junge, gesunde Frau mit verwandtschaftlichen Beziehungen (Eltern, Brüder und weitere Verwandte) und guter Schulbildung. Es ist deshalb davon auszugehen, dass sie bei einer Rückkehr mit Unterstützung ihrer Familie eine gesicherte Wohnsituation und Möglichkeiten zur Wiedereingliederung vorfinden wird.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Nach dem Gesagten erweist sich der Vollzug der Wegweisung auch als zumutbar.</w:t>
      </w:r>
    </w:p>
    <w:p>
      <w:r>
        <w:rPr>
          <w:b/>
        </w:rPr>
        <w:t>E. 8.5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Ergehen des vorliegenden Urteils wird das Gesuch um Verzicht auf das Erheben eines Kostenvorschusses gegenstandslos. Da die eingereichte Beschwerde als aussichtslos erschien, sind die Gesuche um Gewährung der unentgeltlichen Prozessführung gemäss Art. 65 Abs. 1 VwVG und um Bestellung eines amtlichen Rechtsbeistandes gemäss Art. 110a Abs. 1 AsylG abzuweisen.</w:t>
      </w:r>
    </w:p>
    <w:p>
      <w:r>
        <w:rPr>
          <w:b/>
        </w:rPr>
        <w:t>E. 11</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